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A479C" w14:textId="68FBD18E" w:rsidR="0089702C" w:rsidRDefault="00280963">
      <w:bookmarkStart w:id="0" w:name="_GoBack"/>
      <w:bookmarkEnd w:id="0"/>
      <w:r>
        <w:rPr>
          <w:noProof/>
        </w:rPr>
        <w:pict w14:anchorId="3DE24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1.5pt;margin-top:-76.85pt;width:597.25pt;height:846.35pt;z-index:251665920;mso-position-horizontal-relative:text;mso-position-vertical-relative:text">
            <v:imagedata r:id="rId8" o:title="[GD22_13422]_VSM_Recruitment_pack_JD_PS_template_(1)"/>
            <w10:wrap type="square"/>
          </v:shape>
        </w:pict>
      </w:r>
      <w:r w:rsidR="0089702C">
        <w:br w:type="page"/>
      </w:r>
    </w:p>
    <w:p w14:paraId="3960D764" w14:textId="4D5BA0A8" w:rsidR="00CF694F" w:rsidRDefault="00280963">
      <w:pPr>
        <w:sectPr w:rsidR="00CF694F" w:rsidSect="00CF694F">
          <w:headerReference w:type="default" r:id="rId9"/>
          <w:pgSz w:w="11906" w:h="16838"/>
          <w:pgMar w:top="1440" w:right="1440" w:bottom="1440" w:left="1440" w:header="708" w:footer="708" w:gutter="0"/>
          <w:cols w:space="708"/>
          <w:docGrid w:linePitch="360"/>
        </w:sectPr>
      </w:pPr>
      <w:r>
        <w:rPr>
          <w:noProof/>
        </w:rPr>
        <w:lastRenderedPageBreak/>
        <w:pict w14:anchorId="2377FE18">
          <v:shape id="_x0000_s2053" type="#_x0000_t75" style="position:absolute;margin-left:0;margin-top:0;width:593.25pt;height:840.75pt;z-index:251667968;mso-position-horizontal:absolute;mso-position-horizontal-relative:text;mso-position-vertical:absolute;mso-position-vertical-relative:text">
            <v:imagedata r:id="rId10" o:title="[GD21_12625]_UHB_Recruitment_Pack_template___March_20222"/>
            <w10:wrap type="square"/>
          </v:shape>
        </w:pict>
      </w:r>
    </w:p>
    <w:p w14:paraId="30AEB822" w14:textId="77777777" w:rsidR="00A2495A" w:rsidRPr="00A2495A" w:rsidRDefault="00A2495A" w:rsidP="00A2495A">
      <w:pPr>
        <w:spacing w:after="0" w:line="240" w:lineRule="auto"/>
        <w:rPr>
          <w:rFonts w:ascii="Calibri" w:eastAsia="Times New Roman" w:hAnsi="Calibri" w:cs="Calibri"/>
          <w:b/>
          <w:sz w:val="28"/>
          <w:szCs w:val="28"/>
          <w:lang w:eastAsia="en-GB"/>
        </w:rPr>
      </w:pPr>
      <w:r w:rsidRPr="00A2495A">
        <w:rPr>
          <w:rFonts w:ascii="Calibri" w:eastAsia="Times New Roman" w:hAnsi="Calibri" w:cs="Calibri"/>
          <w:b/>
          <w:sz w:val="28"/>
          <w:szCs w:val="28"/>
          <w:lang w:eastAsia="en-GB"/>
        </w:rPr>
        <w:lastRenderedPageBreak/>
        <w:t>JOB DESCRIPTION</w:t>
      </w:r>
    </w:p>
    <w:p w14:paraId="39DAAEEB" w14:textId="77777777" w:rsidR="00A2495A" w:rsidRPr="00A2495A" w:rsidRDefault="00A2495A" w:rsidP="00A2495A">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5116"/>
      </w:tblGrid>
      <w:tr w:rsidR="00A2495A" w:rsidRPr="00A2495A" w14:paraId="274A6CC1" w14:textId="77777777" w:rsidTr="00655028">
        <w:tc>
          <w:tcPr>
            <w:tcW w:w="3866" w:type="dxa"/>
            <w:shd w:val="clear" w:color="auto" w:fill="auto"/>
          </w:tcPr>
          <w:p w14:paraId="15753A8D"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Job Title</w:t>
            </w:r>
          </w:p>
        </w:tc>
        <w:tc>
          <w:tcPr>
            <w:tcW w:w="5376" w:type="dxa"/>
            <w:shd w:val="clear" w:color="auto" w:fill="auto"/>
          </w:tcPr>
          <w:p w14:paraId="4D53EA25" w14:textId="220DC7CD" w:rsidR="00A2495A" w:rsidRPr="00A2495A" w:rsidRDefault="00193C88" w:rsidP="00A2495A">
            <w:pPr>
              <w:spacing w:after="0" w:line="240" w:lineRule="auto"/>
              <w:rPr>
                <w:rFonts w:ascii="Calibri" w:eastAsia="Times New Roman" w:hAnsi="Calibri" w:cs="Calibri"/>
                <w:lang w:eastAsia="en-GB"/>
              </w:rPr>
            </w:pPr>
            <w:r>
              <w:rPr>
                <w:rFonts w:ascii="Calibri" w:eastAsia="Times New Roman" w:hAnsi="Calibri" w:cs="Calibri"/>
                <w:lang w:eastAsia="en-GB"/>
              </w:rPr>
              <w:t>General Manager</w:t>
            </w:r>
          </w:p>
        </w:tc>
      </w:tr>
      <w:tr w:rsidR="00A2495A" w:rsidRPr="00A2495A" w14:paraId="2C6C5EF6" w14:textId="77777777" w:rsidTr="00655028">
        <w:tc>
          <w:tcPr>
            <w:tcW w:w="3866" w:type="dxa"/>
            <w:shd w:val="clear" w:color="auto" w:fill="auto"/>
          </w:tcPr>
          <w:p w14:paraId="6D3ADD63"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Pay Band</w:t>
            </w:r>
          </w:p>
        </w:tc>
        <w:tc>
          <w:tcPr>
            <w:tcW w:w="5376" w:type="dxa"/>
            <w:shd w:val="clear" w:color="auto" w:fill="auto"/>
          </w:tcPr>
          <w:p w14:paraId="064BFE6D" w14:textId="51BCEA19" w:rsidR="00A2495A" w:rsidRPr="00A2495A" w:rsidRDefault="00193C88" w:rsidP="00A2495A">
            <w:pPr>
              <w:spacing w:after="0" w:line="240" w:lineRule="auto"/>
              <w:rPr>
                <w:rFonts w:ascii="Calibri" w:eastAsia="Times New Roman" w:hAnsi="Calibri" w:cs="Calibri"/>
                <w:lang w:eastAsia="en-GB"/>
              </w:rPr>
            </w:pPr>
            <w:r>
              <w:rPr>
                <w:rFonts w:ascii="Calibri" w:eastAsia="Times New Roman" w:hAnsi="Calibri" w:cs="Calibri"/>
                <w:lang w:eastAsia="en-GB"/>
              </w:rPr>
              <w:t>8B</w:t>
            </w:r>
          </w:p>
        </w:tc>
      </w:tr>
      <w:tr w:rsidR="00A2495A" w:rsidRPr="00A2495A" w14:paraId="1DED09F6" w14:textId="77777777" w:rsidTr="00655028">
        <w:tc>
          <w:tcPr>
            <w:tcW w:w="3866" w:type="dxa"/>
            <w:shd w:val="clear" w:color="auto" w:fill="auto"/>
          </w:tcPr>
          <w:p w14:paraId="5483C228"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Department</w:t>
            </w:r>
          </w:p>
        </w:tc>
        <w:tc>
          <w:tcPr>
            <w:tcW w:w="5376" w:type="dxa"/>
            <w:shd w:val="clear" w:color="auto" w:fill="auto"/>
          </w:tcPr>
          <w:p w14:paraId="5DBC5A9C" w14:textId="73A9FEE9" w:rsidR="00A2495A" w:rsidRPr="00A2495A" w:rsidRDefault="00F2037E" w:rsidP="00A2495A">
            <w:pPr>
              <w:spacing w:after="0" w:line="240" w:lineRule="auto"/>
              <w:rPr>
                <w:rFonts w:ascii="Calibri" w:eastAsia="Times New Roman" w:hAnsi="Calibri" w:cs="Calibri"/>
                <w:lang w:eastAsia="en-GB"/>
              </w:rPr>
            </w:pPr>
            <w:r>
              <w:rPr>
                <w:rFonts w:ascii="Calibri" w:eastAsia="Times New Roman" w:hAnsi="Calibri" w:cs="Calibri"/>
                <w:lang w:eastAsia="en-GB"/>
              </w:rPr>
              <w:t>Day Surgery</w:t>
            </w:r>
            <w:r w:rsidR="00193C88">
              <w:rPr>
                <w:rFonts w:ascii="Calibri" w:eastAsia="Times New Roman" w:hAnsi="Calibri" w:cs="Calibri"/>
                <w:lang w:eastAsia="en-GB"/>
              </w:rPr>
              <w:t xml:space="preserve"> &amp;</w:t>
            </w:r>
            <w:r>
              <w:rPr>
                <w:rFonts w:ascii="Calibri" w:eastAsia="Times New Roman" w:hAnsi="Calibri" w:cs="Calibri"/>
                <w:lang w:eastAsia="en-GB"/>
              </w:rPr>
              <w:t xml:space="preserve"> Pre Op </w:t>
            </w:r>
            <w:r w:rsidR="00193C88">
              <w:rPr>
                <w:rFonts w:ascii="Calibri" w:eastAsia="Times New Roman" w:hAnsi="Calibri" w:cs="Calibri"/>
                <w:lang w:eastAsia="en-GB"/>
              </w:rPr>
              <w:t>Assessment</w:t>
            </w:r>
          </w:p>
        </w:tc>
      </w:tr>
      <w:tr w:rsidR="00A2495A" w:rsidRPr="00A2495A" w14:paraId="28B451D9" w14:textId="77777777" w:rsidTr="00655028">
        <w:tc>
          <w:tcPr>
            <w:tcW w:w="3866" w:type="dxa"/>
            <w:shd w:val="clear" w:color="auto" w:fill="auto"/>
          </w:tcPr>
          <w:p w14:paraId="29A3DC70"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 xml:space="preserve">Division </w:t>
            </w:r>
          </w:p>
        </w:tc>
        <w:tc>
          <w:tcPr>
            <w:tcW w:w="5376" w:type="dxa"/>
            <w:shd w:val="clear" w:color="auto" w:fill="auto"/>
          </w:tcPr>
          <w:p w14:paraId="0E4C85C3" w14:textId="6504836F" w:rsidR="00A2495A" w:rsidRPr="00A2495A" w:rsidRDefault="00193C88" w:rsidP="00A2495A">
            <w:pPr>
              <w:spacing w:after="0" w:line="240" w:lineRule="auto"/>
              <w:rPr>
                <w:rFonts w:ascii="Calibri" w:eastAsia="Times New Roman" w:hAnsi="Calibri" w:cs="Calibri"/>
                <w:lang w:eastAsia="en-GB"/>
              </w:rPr>
            </w:pPr>
            <w:r>
              <w:rPr>
                <w:rFonts w:ascii="Calibri" w:eastAsia="Times New Roman" w:hAnsi="Calibri" w:cs="Calibri"/>
                <w:lang w:eastAsia="en-GB"/>
              </w:rPr>
              <w:t>1</w:t>
            </w:r>
          </w:p>
        </w:tc>
      </w:tr>
      <w:tr w:rsidR="00A2495A" w:rsidRPr="00A2495A" w14:paraId="4F0A8DBD" w14:textId="77777777" w:rsidTr="00655028">
        <w:tc>
          <w:tcPr>
            <w:tcW w:w="3866" w:type="dxa"/>
            <w:shd w:val="clear" w:color="auto" w:fill="auto"/>
          </w:tcPr>
          <w:p w14:paraId="28B4BAAA"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Reports to</w:t>
            </w:r>
          </w:p>
        </w:tc>
        <w:tc>
          <w:tcPr>
            <w:tcW w:w="5376" w:type="dxa"/>
            <w:shd w:val="clear" w:color="auto" w:fill="auto"/>
          </w:tcPr>
          <w:p w14:paraId="3869D484" w14:textId="5DCFA20E" w:rsidR="00A2495A" w:rsidRPr="00A2495A" w:rsidRDefault="00193C88" w:rsidP="00A2495A">
            <w:pPr>
              <w:spacing w:after="0" w:line="240" w:lineRule="auto"/>
              <w:rPr>
                <w:rFonts w:ascii="Calibri" w:eastAsia="Times New Roman" w:hAnsi="Calibri" w:cs="Calibri"/>
                <w:lang w:eastAsia="en-GB"/>
              </w:rPr>
            </w:pPr>
            <w:r>
              <w:rPr>
                <w:rFonts w:ascii="Calibri" w:eastAsia="Times New Roman" w:hAnsi="Calibri" w:cs="Calibri"/>
                <w:lang w:eastAsia="en-GB"/>
              </w:rPr>
              <w:t>Director of Operations</w:t>
            </w:r>
          </w:p>
        </w:tc>
      </w:tr>
      <w:tr w:rsidR="00A2495A" w:rsidRPr="00A2495A" w14:paraId="3A897F7A" w14:textId="77777777" w:rsidTr="00655028">
        <w:tc>
          <w:tcPr>
            <w:tcW w:w="3866" w:type="dxa"/>
            <w:shd w:val="clear" w:color="auto" w:fill="auto"/>
          </w:tcPr>
          <w:p w14:paraId="62EC77EE"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 xml:space="preserve">Professionally Responsible to </w:t>
            </w:r>
          </w:p>
        </w:tc>
        <w:tc>
          <w:tcPr>
            <w:tcW w:w="5376" w:type="dxa"/>
            <w:shd w:val="clear" w:color="auto" w:fill="auto"/>
          </w:tcPr>
          <w:p w14:paraId="24C1D15C" w14:textId="79CFC288" w:rsidR="00A2495A" w:rsidRPr="00A2495A" w:rsidRDefault="00193C88" w:rsidP="00A2495A">
            <w:pPr>
              <w:spacing w:after="0" w:line="240" w:lineRule="auto"/>
              <w:rPr>
                <w:rFonts w:ascii="Calibri" w:eastAsia="Times New Roman" w:hAnsi="Calibri" w:cs="Calibri"/>
                <w:lang w:eastAsia="en-GB"/>
              </w:rPr>
            </w:pPr>
            <w:r>
              <w:rPr>
                <w:rFonts w:ascii="Calibri" w:eastAsia="Times New Roman" w:hAnsi="Calibri" w:cs="Calibri"/>
                <w:lang w:eastAsia="en-GB"/>
              </w:rPr>
              <w:t>Managing Director</w:t>
            </w:r>
          </w:p>
        </w:tc>
      </w:tr>
      <w:tr w:rsidR="00A2495A" w:rsidRPr="00A2495A" w14:paraId="4EB8A0F8" w14:textId="77777777" w:rsidTr="0038661C">
        <w:tc>
          <w:tcPr>
            <w:tcW w:w="9242" w:type="dxa"/>
            <w:gridSpan w:val="2"/>
            <w:shd w:val="clear" w:color="auto" w:fill="FBD4B4"/>
          </w:tcPr>
          <w:p w14:paraId="47EC48FB"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JOB SUMMARY</w:t>
            </w:r>
          </w:p>
        </w:tc>
      </w:tr>
      <w:tr w:rsidR="00A2495A" w:rsidRPr="00A2495A" w14:paraId="60BFA2E6" w14:textId="77777777" w:rsidTr="0038661C">
        <w:tc>
          <w:tcPr>
            <w:tcW w:w="9242" w:type="dxa"/>
            <w:gridSpan w:val="2"/>
            <w:shd w:val="clear" w:color="auto" w:fill="auto"/>
          </w:tcPr>
          <w:p w14:paraId="4348F3D9" w14:textId="18E8376D" w:rsidR="00A2495A" w:rsidRPr="00193C88" w:rsidRDefault="00193C88" w:rsidP="00193C88">
            <w:pPr>
              <w:spacing w:after="0" w:line="240" w:lineRule="auto"/>
              <w:jc w:val="both"/>
              <w:rPr>
                <w:rFonts w:ascii="Calibri" w:eastAsia="Times New Roman" w:hAnsi="Calibri" w:cs="Calibri"/>
                <w:lang w:eastAsia="en-GB"/>
              </w:rPr>
            </w:pPr>
            <w:r w:rsidRPr="00193C88">
              <w:t>The post holder will work with the Director of Operations, Deputy Director of Operations and Divisional Management Team to lead and manage the services assigned to them. The post holder will be responsible for providing patient centred operational and strategic business planning and leadership to ensure that the assigned speciality achieve their agreed performance objectives within the resources available.</w:t>
            </w:r>
          </w:p>
        </w:tc>
      </w:tr>
      <w:tr w:rsidR="00A2495A" w:rsidRPr="00A2495A" w14:paraId="2721CCBB" w14:textId="77777777" w:rsidTr="0038661C">
        <w:tc>
          <w:tcPr>
            <w:tcW w:w="9242" w:type="dxa"/>
            <w:gridSpan w:val="2"/>
            <w:shd w:val="clear" w:color="auto" w:fill="FBD4B4"/>
          </w:tcPr>
          <w:p w14:paraId="2442862A" w14:textId="30B76687" w:rsidR="00A2495A" w:rsidRPr="00A2495A" w:rsidRDefault="0038661C" w:rsidP="00A2495A">
            <w:pPr>
              <w:spacing w:after="0" w:line="240" w:lineRule="auto"/>
              <w:rPr>
                <w:rFonts w:ascii="Calibri" w:eastAsia="Times New Roman" w:hAnsi="Calibri" w:cs="Calibri"/>
                <w:b/>
                <w:lang w:eastAsia="en-GB"/>
              </w:rPr>
            </w:pPr>
            <w:r>
              <w:rPr>
                <w:rFonts w:ascii="Calibri" w:eastAsia="Times New Roman" w:hAnsi="Calibri" w:cs="Calibri"/>
                <w:b/>
                <w:lang w:eastAsia="en-GB"/>
              </w:rPr>
              <w:t>TEAM/DEPARTMENT STRUCTURE CHART</w:t>
            </w:r>
          </w:p>
        </w:tc>
      </w:tr>
      <w:tr w:rsidR="00A2495A" w:rsidRPr="00A2495A" w14:paraId="68465254" w14:textId="77777777" w:rsidTr="0038661C">
        <w:tc>
          <w:tcPr>
            <w:tcW w:w="9242" w:type="dxa"/>
            <w:gridSpan w:val="2"/>
            <w:shd w:val="clear" w:color="auto" w:fill="auto"/>
          </w:tcPr>
          <w:p w14:paraId="33BE288F" w14:textId="77777777" w:rsidR="00A2495A" w:rsidRPr="00A2495A" w:rsidRDefault="00A2495A" w:rsidP="00A2495A">
            <w:pPr>
              <w:spacing w:after="0" w:line="240" w:lineRule="auto"/>
              <w:rPr>
                <w:rFonts w:ascii="Calibri" w:eastAsia="Times New Roman" w:hAnsi="Calibri" w:cs="Calibri"/>
                <w:b/>
                <w:lang w:eastAsia="en-GB"/>
              </w:rPr>
            </w:pPr>
          </w:p>
          <w:p w14:paraId="2126CAFF" w14:textId="7F3F06F4" w:rsidR="0038661C" w:rsidRPr="00A2495A" w:rsidRDefault="00404B7C" w:rsidP="00A2495A">
            <w:pPr>
              <w:spacing w:after="0" w:line="240" w:lineRule="auto"/>
              <w:rPr>
                <w:rFonts w:ascii="Calibri" w:eastAsia="Times New Roman" w:hAnsi="Calibri" w:cs="Calibri"/>
                <w:b/>
                <w:lang w:eastAsia="en-GB"/>
              </w:rPr>
            </w:pPr>
            <w:r>
              <w:rPr>
                <w:noProof/>
                <w:lang w:eastAsia="en-GB"/>
              </w:rPr>
              <w:drawing>
                <wp:inline distT="0" distB="0" distL="0" distR="0" wp14:anchorId="4B31FECD" wp14:editId="6EF5EA36">
                  <wp:extent cx="5788550" cy="1582310"/>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A2495A" w:rsidRPr="00A2495A" w14:paraId="36AF0D92" w14:textId="77777777" w:rsidTr="0038661C">
        <w:tc>
          <w:tcPr>
            <w:tcW w:w="9242" w:type="dxa"/>
            <w:gridSpan w:val="2"/>
            <w:shd w:val="clear" w:color="auto" w:fill="FBD4B4"/>
          </w:tcPr>
          <w:p w14:paraId="6CD15B78" w14:textId="0CF32509"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 xml:space="preserve">KEY </w:t>
            </w:r>
            <w:r w:rsidR="0038661C">
              <w:rPr>
                <w:rFonts w:ascii="Calibri" w:eastAsia="Times New Roman" w:hAnsi="Calibri" w:cs="Calibri"/>
                <w:b/>
                <w:lang w:eastAsia="en-GB"/>
              </w:rPr>
              <w:t>SKILLS</w:t>
            </w:r>
          </w:p>
        </w:tc>
      </w:tr>
      <w:tr w:rsidR="00A2495A" w:rsidRPr="00A2495A" w14:paraId="268BA62E" w14:textId="77777777" w:rsidTr="0038661C">
        <w:tc>
          <w:tcPr>
            <w:tcW w:w="9242" w:type="dxa"/>
            <w:gridSpan w:val="2"/>
            <w:shd w:val="clear" w:color="auto" w:fill="auto"/>
          </w:tcPr>
          <w:p w14:paraId="351B8732" w14:textId="5BA521C9" w:rsidR="00193C88" w:rsidRPr="00116167" w:rsidRDefault="00193C88" w:rsidP="00116167">
            <w:pPr>
              <w:pStyle w:val="Default"/>
              <w:numPr>
                <w:ilvl w:val="0"/>
                <w:numId w:val="4"/>
              </w:numPr>
              <w:ind w:left="284" w:hanging="284"/>
              <w:jc w:val="both"/>
              <w:rPr>
                <w:rFonts w:asciiTheme="minorHAnsi" w:hAnsiTheme="minorHAnsi" w:cstheme="minorHAnsi"/>
                <w:sz w:val="22"/>
                <w:szCs w:val="22"/>
              </w:rPr>
            </w:pPr>
            <w:r w:rsidRPr="00116167">
              <w:rPr>
                <w:rFonts w:asciiTheme="minorHAnsi" w:hAnsiTheme="minorHAnsi" w:cstheme="minorHAnsi"/>
                <w:sz w:val="22"/>
                <w:szCs w:val="22"/>
              </w:rPr>
              <w:t xml:space="preserve">The General Manager is responsible for promoting the vision and values of University Hospitals Birmingham, leading by example and ensuring that they demonstrate those values in their leadership behaviours and how we support our teams and deliver our services. </w:t>
            </w:r>
          </w:p>
          <w:p w14:paraId="74A860FE" w14:textId="7C1E5729" w:rsidR="00A2495A" w:rsidRPr="00116167" w:rsidRDefault="00193C88" w:rsidP="00116167">
            <w:pPr>
              <w:pStyle w:val="ListParagraph"/>
              <w:numPr>
                <w:ilvl w:val="0"/>
                <w:numId w:val="4"/>
              </w:numPr>
              <w:spacing w:after="0" w:line="240" w:lineRule="auto"/>
              <w:ind w:left="284" w:hanging="284"/>
              <w:jc w:val="both"/>
              <w:rPr>
                <w:rFonts w:eastAsia="Times New Roman" w:cstheme="minorHAnsi"/>
                <w:lang w:eastAsia="en-GB"/>
              </w:rPr>
            </w:pPr>
            <w:r w:rsidRPr="00116167">
              <w:rPr>
                <w:rFonts w:cstheme="minorHAnsi"/>
              </w:rPr>
              <w:t>The General Manager is responsible for delivering the Trust’s Strategy, within their area of responsibility, incorporating the following: 2</w:t>
            </w:r>
          </w:p>
          <w:p w14:paraId="3D9B4CBC" w14:textId="77777777" w:rsidR="00193C88" w:rsidRPr="00116167" w:rsidRDefault="00193C88" w:rsidP="00116167">
            <w:pPr>
              <w:pStyle w:val="Default"/>
              <w:numPr>
                <w:ilvl w:val="0"/>
                <w:numId w:val="4"/>
              </w:numPr>
              <w:ind w:left="284" w:hanging="284"/>
              <w:jc w:val="both"/>
              <w:rPr>
                <w:rFonts w:asciiTheme="minorHAnsi" w:hAnsiTheme="minorHAnsi" w:cstheme="minorHAnsi"/>
                <w:sz w:val="22"/>
                <w:szCs w:val="22"/>
              </w:rPr>
            </w:pPr>
            <w:r w:rsidRPr="00116167">
              <w:rPr>
                <w:rFonts w:asciiTheme="minorHAnsi" w:hAnsiTheme="minorHAnsi" w:cstheme="minorHAnsi"/>
                <w:sz w:val="22"/>
                <w:szCs w:val="22"/>
              </w:rPr>
              <w:t xml:space="preserve">Lead on the development of challenging service improvement strategies for each department and service within the assigned speciality that allow for the delivery of Divisional Service and Financial Plans directed by the Divisional Management Team. </w:t>
            </w:r>
          </w:p>
          <w:p w14:paraId="09DBB03A" w14:textId="5F506208" w:rsidR="00193C88" w:rsidRPr="00116167" w:rsidRDefault="00193C88" w:rsidP="00116167">
            <w:pPr>
              <w:pStyle w:val="Default"/>
              <w:numPr>
                <w:ilvl w:val="0"/>
                <w:numId w:val="4"/>
              </w:numPr>
              <w:ind w:left="284" w:hanging="284"/>
              <w:jc w:val="both"/>
              <w:rPr>
                <w:rFonts w:asciiTheme="minorHAnsi" w:hAnsiTheme="minorHAnsi" w:cstheme="minorHAnsi"/>
                <w:sz w:val="22"/>
                <w:szCs w:val="22"/>
              </w:rPr>
            </w:pPr>
            <w:r w:rsidRPr="00116167">
              <w:rPr>
                <w:rFonts w:asciiTheme="minorHAnsi" w:hAnsiTheme="minorHAnsi" w:cstheme="minorHAnsi"/>
                <w:sz w:val="22"/>
                <w:szCs w:val="22"/>
              </w:rPr>
              <w:t xml:space="preserve">In conjunction with the Director of Operations ensure that all income required to support delivery of the service is identified and that budgets are realistic and achievable. </w:t>
            </w:r>
          </w:p>
          <w:p w14:paraId="4C045213" w14:textId="5D7C5BAE" w:rsidR="00193C88" w:rsidRPr="00116167" w:rsidRDefault="00193C88" w:rsidP="00116167">
            <w:pPr>
              <w:pStyle w:val="Default"/>
              <w:numPr>
                <w:ilvl w:val="0"/>
                <w:numId w:val="4"/>
              </w:numPr>
              <w:ind w:left="284" w:hanging="284"/>
              <w:jc w:val="both"/>
              <w:rPr>
                <w:rFonts w:asciiTheme="minorHAnsi" w:hAnsiTheme="minorHAnsi" w:cstheme="minorHAnsi"/>
                <w:sz w:val="22"/>
                <w:szCs w:val="22"/>
              </w:rPr>
            </w:pPr>
            <w:r w:rsidRPr="00116167">
              <w:rPr>
                <w:rFonts w:asciiTheme="minorHAnsi" w:hAnsiTheme="minorHAnsi" w:cstheme="minorHAnsi"/>
                <w:sz w:val="22"/>
                <w:szCs w:val="22"/>
              </w:rPr>
              <w:t xml:space="preserve">Work with Community, Social Care and Academic partners to ensure that delivery plans support the wider healthcare agenda including improvements in equality and access. </w:t>
            </w:r>
          </w:p>
          <w:p w14:paraId="5CCD74CC" w14:textId="3FDED0A4" w:rsidR="00193C88" w:rsidRPr="00116167" w:rsidRDefault="00193C88" w:rsidP="00116167">
            <w:pPr>
              <w:pStyle w:val="Default"/>
              <w:numPr>
                <w:ilvl w:val="0"/>
                <w:numId w:val="4"/>
              </w:numPr>
              <w:ind w:left="284" w:hanging="284"/>
              <w:jc w:val="both"/>
              <w:rPr>
                <w:rFonts w:asciiTheme="minorHAnsi" w:hAnsiTheme="minorHAnsi" w:cstheme="minorHAnsi"/>
                <w:sz w:val="22"/>
                <w:szCs w:val="22"/>
              </w:rPr>
            </w:pPr>
            <w:r w:rsidRPr="00116167">
              <w:rPr>
                <w:rFonts w:asciiTheme="minorHAnsi" w:hAnsiTheme="minorHAnsi" w:cstheme="minorHAnsi"/>
                <w:sz w:val="22"/>
                <w:szCs w:val="22"/>
              </w:rPr>
              <w:t xml:space="preserve">Work closely with Trust General Managers, Clinicians and support services in other parts of the Trust to ensure delivery plans are compatible and to maximise opportunities for more efficient ways of working. </w:t>
            </w:r>
          </w:p>
          <w:p w14:paraId="5106A467" w14:textId="23CAE695" w:rsidR="00193C88" w:rsidRPr="00116167" w:rsidRDefault="00193C88" w:rsidP="00116167">
            <w:pPr>
              <w:pStyle w:val="Default"/>
              <w:numPr>
                <w:ilvl w:val="0"/>
                <w:numId w:val="4"/>
              </w:numPr>
              <w:ind w:left="284" w:hanging="284"/>
              <w:jc w:val="both"/>
              <w:rPr>
                <w:rFonts w:asciiTheme="minorHAnsi" w:hAnsiTheme="minorHAnsi" w:cstheme="minorHAnsi"/>
                <w:sz w:val="22"/>
                <w:szCs w:val="22"/>
              </w:rPr>
            </w:pPr>
            <w:r w:rsidRPr="00116167">
              <w:rPr>
                <w:rFonts w:asciiTheme="minorHAnsi" w:hAnsiTheme="minorHAnsi" w:cstheme="minorHAnsi"/>
                <w:sz w:val="22"/>
                <w:szCs w:val="22"/>
              </w:rPr>
              <w:t xml:space="preserve">Support Clinicians to deliver service re-design projects that deliver improved clinical outcomes for patients, reduced waiting times and more efficient use of resources. </w:t>
            </w:r>
          </w:p>
          <w:p w14:paraId="06DDEBA6" w14:textId="0C5675FB" w:rsidR="00193C88" w:rsidRPr="00116167" w:rsidRDefault="00193C88" w:rsidP="00116167">
            <w:pPr>
              <w:pStyle w:val="Default"/>
              <w:numPr>
                <w:ilvl w:val="0"/>
                <w:numId w:val="4"/>
              </w:numPr>
              <w:ind w:left="284" w:hanging="284"/>
              <w:jc w:val="both"/>
              <w:rPr>
                <w:rFonts w:asciiTheme="minorHAnsi" w:hAnsiTheme="minorHAnsi" w:cstheme="minorHAnsi"/>
                <w:sz w:val="22"/>
                <w:szCs w:val="22"/>
              </w:rPr>
            </w:pPr>
            <w:r w:rsidRPr="00116167">
              <w:rPr>
                <w:rFonts w:asciiTheme="minorHAnsi" w:hAnsiTheme="minorHAnsi" w:cstheme="minorHAnsi"/>
                <w:sz w:val="22"/>
                <w:szCs w:val="22"/>
              </w:rPr>
              <w:t xml:space="preserve">With the Clinical Service Lead and Matron / Heads of Department, be responsible for compliance with national and local performance targets in relation to their area of responsibility. </w:t>
            </w:r>
          </w:p>
          <w:p w14:paraId="7F56230D" w14:textId="2D44B5B4" w:rsidR="00A2495A" w:rsidRPr="00116167" w:rsidRDefault="00193C88" w:rsidP="00116167">
            <w:pPr>
              <w:pStyle w:val="Default"/>
              <w:numPr>
                <w:ilvl w:val="0"/>
                <w:numId w:val="4"/>
              </w:numPr>
              <w:ind w:left="284" w:hanging="284"/>
              <w:jc w:val="both"/>
              <w:rPr>
                <w:sz w:val="23"/>
                <w:szCs w:val="23"/>
              </w:rPr>
            </w:pPr>
            <w:r w:rsidRPr="00116167">
              <w:rPr>
                <w:rFonts w:asciiTheme="minorHAnsi" w:hAnsiTheme="minorHAnsi" w:cstheme="minorHAnsi"/>
                <w:sz w:val="22"/>
                <w:szCs w:val="22"/>
              </w:rPr>
              <w:t>In conjunction with the Clinical Service Lead work closely with clinicians, managers and support teams to ensure that their assigned speciality are providing optimum quality of care in line with national healthcare standards.</w:t>
            </w:r>
            <w:r>
              <w:rPr>
                <w:sz w:val="23"/>
                <w:szCs w:val="23"/>
              </w:rPr>
              <w:t xml:space="preserve"> </w:t>
            </w:r>
          </w:p>
        </w:tc>
      </w:tr>
      <w:tr w:rsidR="004B6E00" w:rsidRPr="00A2495A" w14:paraId="5D62FFD8" w14:textId="77777777" w:rsidTr="0038661C">
        <w:tc>
          <w:tcPr>
            <w:tcW w:w="9242" w:type="dxa"/>
            <w:gridSpan w:val="2"/>
            <w:shd w:val="clear" w:color="auto" w:fill="FBD4B4"/>
          </w:tcPr>
          <w:p w14:paraId="14AD74B5" w14:textId="32712C2F" w:rsidR="004B6E00" w:rsidRPr="00A2495A" w:rsidRDefault="004B6E00" w:rsidP="00A2495A">
            <w:pPr>
              <w:spacing w:after="0" w:line="240" w:lineRule="auto"/>
              <w:rPr>
                <w:rFonts w:ascii="Calibri" w:eastAsia="Times New Roman" w:hAnsi="Calibri" w:cs="Calibri"/>
                <w:b/>
                <w:lang w:eastAsia="en-GB"/>
              </w:rPr>
            </w:pPr>
            <w:r>
              <w:rPr>
                <w:rFonts w:ascii="Calibri" w:eastAsia="Times New Roman" w:hAnsi="Calibri" w:cs="Calibri"/>
                <w:b/>
                <w:lang w:eastAsia="en-GB"/>
              </w:rPr>
              <w:t>KEY RESPONSIBILITIES</w:t>
            </w:r>
          </w:p>
        </w:tc>
      </w:tr>
      <w:tr w:rsidR="004B6E00" w:rsidRPr="00A2495A" w14:paraId="2E139E72" w14:textId="77777777" w:rsidTr="0038661C">
        <w:tc>
          <w:tcPr>
            <w:tcW w:w="9242" w:type="dxa"/>
            <w:gridSpan w:val="2"/>
            <w:shd w:val="clear" w:color="auto" w:fill="auto"/>
          </w:tcPr>
          <w:p w14:paraId="34295FE9" w14:textId="77777777" w:rsidR="00193C88" w:rsidRDefault="00193C88" w:rsidP="00193C88">
            <w:pPr>
              <w:pStyle w:val="Default"/>
            </w:pPr>
          </w:p>
          <w:p w14:paraId="325140E4" w14:textId="77777777"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lastRenderedPageBreak/>
              <w:t xml:space="preserve">Support the relevant Clinical Service Lead, Matrons / Heads of Department to ensure each department within the assigned speciality has clearly defined performance objectives that are consistent with performance requirements of the Division. </w:t>
            </w:r>
          </w:p>
          <w:p w14:paraId="72333D19" w14:textId="2E54F299"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To ensure the continued implementation of effective reporting arrangements within the assigned speciality’s management team to accurately record and monitor performance against local and national targets. </w:t>
            </w:r>
          </w:p>
          <w:p w14:paraId="32BBD2DB" w14:textId="1824717B"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Work with the Clinical Service Lead, Matrons/ Heads of Department and assigned speciality clinical teams to regularly review the effectiveness of care pathways and to identify and rectify with solutions to improve performance and the patient experience. </w:t>
            </w:r>
          </w:p>
          <w:p w14:paraId="6A94EF40" w14:textId="5B8D9214"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Provide regular reports on performance to the Director of Operations with assurance that appropriate follow up actions will be completed where necessary. </w:t>
            </w:r>
          </w:p>
          <w:p w14:paraId="6EAB6654" w14:textId="2F1A141F"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To ensure the delivery of agreed targets in order to continually improve performance within the assigned speciality and support delivery within the Division. </w:t>
            </w:r>
          </w:p>
          <w:p w14:paraId="40819CED" w14:textId="7BDA1963"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Introduce new and innovative business management strategies to maximise the organisational efficiency of the assigned specialty /Division. </w:t>
            </w:r>
          </w:p>
          <w:p w14:paraId="476E060A" w14:textId="5EBFE37F"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Provide professional support to the assigned speciality’s management team to support service performance</w:t>
            </w:r>
            <w:r w:rsidR="00280963" w:rsidRPr="004462F5">
              <w:rPr>
                <w:rFonts w:asciiTheme="minorHAnsi" w:hAnsiTheme="minorHAnsi" w:cstheme="minorHAnsi"/>
                <w:sz w:val="22"/>
                <w:szCs w:val="22"/>
              </w:rPr>
              <w:t>.</w:t>
            </w:r>
            <w:r w:rsidRPr="004462F5">
              <w:rPr>
                <w:rFonts w:asciiTheme="minorHAnsi" w:hAnsiTheme="minorHAnsi" w:cstheme="minorHAnsi"/>
                <w:sz w:val="22"/>
                <w:szCs w:val="22"/>
              </w:rPr>
              <w:t xml:space="preserve"> </w:t>
            </w:r>
          </w:p>
          <w:p w14:paraId="62EA9495" w14:textId="7F19BA41"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Ensure that all staff in the assigned speciality are clear about what is expected and are working together in successful teams to achieve in the Trust’s vision. </w:t>
            </w:r>
          </w:p>
          <w:p w14:paraId="5C5307FF" w14:textId="583E75DC"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In conjunction with the Divisional Management Team, lead on the implementation of new policies within the Division on behalf of the service and assigned speciality </w:t>
            </w:r>
          </w:p>
          <w:p w14:paraId="7866A2BE" w14:textId="5B55DE63" w:rsidR="00193C88" w:rsidRPr="004462F5" w:rsidRDefault="00193C88" w:rsidP="004462F5">
            <w:pPr>
              <w:pStyle w:val="Default"/>
              <w:numPr>
                <w:ilvl w:val="0"/>
                <w:numId w:val="5"/>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To participate on the on-call manager rota. </w:t>
            </w:r>
          </w:p>
          <w:p w14:paraId="62067DC3" w14:textId="5A7AAF87" w:rsidR="0038661C" w:rsidRPr="004462F5" w:rsidRDefault="00193C88" w:rsidP="004462F5">
            <w:pPr>
              <w:pStyle w:val="Default"/>
              <w:numPr>
                <w:ilvl w:val="0"/>
                <w:numId w:val="5"/>
              </w:numPr>
              <w:ind w:left="284" w:hanging="284"/>
              <w:jc w:val="both"/>
              <w:rPr>
                <w:sz w:val="23"/>
                <w:szCs w:val="23"/>
              </w:rPr>
            </w:pPr>
            <w:r w:rsidRPr="004462F5">
              <w:rPr>
                <w:rFonts w:asciiTheme="minorHAnsi" w:hAnsiTheme="minorHAnsi" w:cstheme="minorHAnsi"/>
                <w:sz w:val="22"/>
                <w:szCs w:val="22"/>
              </w:rPr>
              <w:t>To work flexibly across all Trust locations.</w:t>
            </w:r>
            <w:r>
              <w:rPr>
                <w:sz w:val="23"/>
                <w:szCs w:val="23"/>
              </w:rPr>
              <w:t xml:space="preserve"> </w:t>
            </w:r>
          </w:p>
        </w:tc>
      </w:tr>
      <w:tr w:rsidR="00A2495A" w:rsidRPr="00A2495A" w14:paraId="1506224C" w14:textId="77777777" w:rsidTr="0038661C">
        <w:tc>
          <w:tcPr>
            <w:tcW w:w="9242" w:type="dxa"/>
            <w:gridSpan w:val="2"/>
            <w:shd w:val="clear" w:color="auto" w:fill="FBD4B4"/>
          </w:tcPr>
          <w:p w14:paraId="5673014F"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lastRenderedPageBreak/>
              <w:t>BUDGETARY AND RESOURCE MANAGEMENT</w:t>
            </w:r>
          </w:p>
        </w:tc>
      </w:tr>
      <w:tr w:rsidR="00A2495A" w:rsidRPr="00A2495A" w14:paraId="4C00EBA6" w14:textId="77777777" w:rsidTr="0038661C">
        <w:tc>
          <w:tcPr>
            <w:tcW w:w="9242" w:type="dxa"/>
            <w:gridSpan w:val="2"/>
            <w:shd w:val="clear" w:color="auto" w:fill="auto"/>
          </w:tcPr>
          <w:p w14:paraId="40428D86" w14:textId="77777777" w:rsidR="00193C88" w:rsidRPr="004462F5" w:rsidRDefault="00193C88" w:rsidP="004462F5">
            <w:pPr>
              <w:pStyle w:val="Default"/>
              <w:numPr>
                <w:ilvl w:val="0"/>
                <w:numId w:val="6"/>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Budget holder for service/services. </w:t>
            </w:r>
          </w:p>
          <w:p w14:paraId="543C2A11" w14:textId="63F64E29" w:rsidR="00193C88" w:rsidRPr="004462F5" w:rsidRDefault="00193C88" w:rsidP="004462F5">
            <w:pPr>
              <w:pStyle w:val="Default"/>
              <w:numPr>
                <w:ilvl w:val="0"/>
                <w:numId w:val="6"/>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In support of the Director of Operations and Deputy Director of Operations ensure that the assigned speciality delivers a robust financial performance in line with the Trust’s agreed financial plan and to actively explore and implement opportunities for ongoing cost improvement. </w:t>
            </w:r>
          </w:p>
          <w:p w14:paraId="2326A698" w14:textId="5541AE7C" w:rsidR="00193C88" w:rsidRPr="004462F5" w:rsidRDefault="00193C88" w:rsidP="004462F5">
            <w:pPr>
              <w:pStyle w:val="Default"/>
              <w:numPr>
                <w:ilvl w:val="0"/>
                <w:numId w:val="6"/>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To agree and adhere to assigned speciality budgets alongside management colleagues and in conjunction with the Divisional Finance Manager. </w:t>
            </w:r>
          </w:p>
          <w:p w14:paraId="1CD1D596" w14:textId="3F3E3280" w:rsidR="00193C88" w:rsidRPr="004462F5" w:rsidRDefault="00193C88" w:rsidP="004462F5">
            <w:pPr>
              <w:pStyle w:val="Default"/>
              <w:numPr>
                <w:ilvl w:val="0"/>
                <w:numId w:val="6"/>
              </w:numPr>
              <w:spacing w:after="37"/>
              <w:ind w:left="284" w:hanging="284"/>
              <w:jc w:val="both"/>
              <w:rPr>
                <w:rFonts w:asciiTheme="minorHAnsi" w:hAnsiTheme="minorHAnsi" w:cstheme="minorHAnsi"/>
                <w:sz w:val="22"/>
                <w:szCs w:val="22"/>
              </w:rPr>
            </w:pPr>
            <w:r w:rsidRPr="004462F5">
              <w:rPr>
                <w:rFonts w:asciiTheme="minorHAnsi" w:hAnsiTheme="minorHAnsi" w:cstheme="minorHAnsi"/>
                <w:sz w:val="22"/>
                <w:szCs w:val="22"/>
              </w:rPr>
              <w:t xml:space="preserve">Ensure decisions within the financial remit of this role and any delegated budgets within the Division adhere to Trust Standing Financial Instructions and Standing Orders. </w:t>
            </w:r>
          </w:p>
          <w:p w14:paraId="2C301777" w14:textId="0A9D951D" w:rsidR="00A2495A" w:rsidRPr="004462F5" w:rsidRDefault="00193C88" w:rsidP="004462F5">
            <w:pPr>
              <w:pStyle w:val="Default"/>
              <w:numPr>
                <w:ilvl w:val="0"/>
                <w:numId w:val="6"/>
              </w:numPr>
              <w:ind w:left="284" w:hanging="284"/>
              <w:jc w:val="both"/>
              <w:rPr>
                <w:sz w:val="23"/>
                <w:szCs w:val="23"/>
              </w:rPr>
            </w:pPr>
            <w:r w:rsidRPr="004462F5">
              <w:rPr>
                <w:rFonts w:asciiTheme="minorHAnsi" w:hAnsiTheme="minorHAnsi" w:cstheme="minorHAnsi"/>
                <w:sz w:val="22"/>
                <w:szCs w:val="22"/>
              </w:rPr>
              <w:t>To support a system for business risk evaluation of service developments.</w:t>
            </w:r>
            <w:r>
              <w:rPr>
                <w:sz w:val="23"/>
                <w:szCs w:val="23"/>
              </w:rPr>
              <w:t xml:space="preserve"> </w:t>
            </w:r>
          </w:p>
        </w:tc>
      </w:tr>
      <w:tr w:rsidR="00A2495A" w:rsidRPr="00A2495A" w14:paraId="40D6CF66" w14:textId="77777777" w:rsidTr="0038661C">
        <w:tc>
          <w:tcPr>
            <w:tcW w:w="9242" w:type="dxa"/>
            <w:gridSpan w:val="2"/>
            <w:shd w:val="clear" w:color="auto" w:fill="FBD4B4"/>
          </w:tcPr>
          <w:p w14:paraId="5A5D1AB7" w14:textId="616F8B17" w:rsidR="00A2495A" w:rsidRPr="00A2495A" w:rsidRDefault="004B6E00" w:rsidP="00A2495A">
            <w:pPr>
              <w:spacing w:after="0" w:line="240" w:lineRule="auto"/>
              <w:rPr>
                <w:rFonts w:ascii="Calibri" w:eastAsia="Times New Roman" w:hAnsi="Calibri" w:cs="Calibri"/>
                <w:b/>
                <w:lang w:eastAsia="en-GB"/>
              </w:rPr>
            </w:pPr>
            <w:r>
              <w:rPr>
                <w:rFonts w:ascii="Calibri" w:eastAsia="Times New Roman" w:hAnsi="Calibri" w:cs="Calibri"/>
                <w:b/>
                <w:lang w:eastAsia="en-GB"/>
              </w:rPr>
              <w:t xml:space="preserve">MANAGEMENT </w:t>
            </w:r>
            <w:r w:rsidR="0038661C">
              <w:rPr>
                <w:rFonts w:ascii="Calibri" w:eastAsia="Times New Roman" w:hAnsi="Calibri" w:cs="Calibri"/>
                <w:b/>
                <w:lang w:eastAsia="en-GB"/>
              </w:rPr>
              <w:t>, SUPERVISORY, TEACHING, TRAINING</w:t>
            </w:r>
            <w:r w:rsidR="00A2495A" w:rsidRPr="00A2495A">
              <w:rPr>
                <w:rFonts w:ascii="Calibri" w:eastAsia="Times New Roman" w:hAnsi="Calibri" w:cs="Calibri"/>
                <w:b/>
                <w:lang w:eastAsia="en-GB"/>
              </w:rPr>
              <w:t xml:space="preserve"> RESPONSIBILITIES</w:t>
            </w:r>
          </w:p>
        </w:tc>
      </w:tr>
      <w:tr w:rsidR="00A2495A" w:rsidRPr="00A2495A" w14:paraId="32E059BA" w14:textId="77777777" w:rsidTr="0038661C">
        <w:tc>
          <w:tcPr>
            <w:tcW w:w="9242" w:type="dxa"/>
            <w:gridSpan w:val="2"/>
            <w:shd w:val="clear" w:color="auto" w:fill="auto"/>
          </w:tcPr>
          <w:p w14:paraId="7BC88DA5" w14:textId="3941DBB2" w:rsidR="00193C88" w:rsidRPr="00655028" w:rsidRDefault="00655028" w:rsidP="00655028">
            <w:pPr>
              <w:pStyle w:val="Default"/>
              <w:numPr>
                <w:ilvl w:val="0"/>
                <w:numId w:val="7"/>
              </w:numPr>
              <w:ind w:left="284" w:hanging="284"/>
              <w:jc w:val="both"/>
              <w:rPr>
                <w:rFonts w:asciiTheme="minorHAnsi" w:hAnsiTheme="minorHAnsi" w:cstheme="minorHAnsi"/>
                <w:sz w:val="22"/>
                <w:szCs w:val="22"/>
              </w:rPr>
            </w:pPr>
            <w:r>
              <w:rPr>
                <w:rFonts w:asciiTheme="minorHAnsi" w:hAnsiTheme="minorHAnsi" w:cstheme="minorHAnsi"/>
                <w:sz w:val="22"/>
                <w:szCs w:val="22"/>
              </w:rPr>
              <w:t>To r</w:t>
            </w:r>
            <w:r w:rsidR="00193C88" w:rsidRPr="00655028">
              <w:rPr>
                <w:rFonts w:asciiTheme="minorHAnsi" w:hAnsiTheme="minorHAnsi" w:cstheme="minorHAnsi"/>
                <w:sz w:val="22"/>
                <w:szCs w:val="22"/>
              </w:rPr>
              <w:t xml:space="preserve">egularly review the assigned speciality workforce at departmental level to ensure service areas have the correct staffing numbers, the correct level of knowledge, skill and expertise to deliver services in the most effective and efficient way. </w:t>
            </w:r>
          </w:p>
          <w:p w14:paraId="57EEE8F4" w14:textId="40F16A9C" w:rsidR="00193C88" w:rsidRPr="00655028" w:rsidRDefault="00193C88" w:rsidP="00655028">
            <w:pPr>
              <w:pStyle w:val="Default"/>
              <w:numPr>
                <w:ilvl w:val="0"/>
                <w:numId w:val="7"/>
              </w:numPr>
              <w:ind w:left="284" w:hanging="284"/>
              <w:jc w:val="both"/>
              <w:rPr>
                <w:rFonts w:asciiTheme="minorHAnsi" w:hAnsiTheme="minorHAnsi" w:cstheme="minorHAnsi"/>
                <w:sz w:val="22"/>
                <w:szCs w:val="22"/>
              </w:rPr>
            </w:pPr>
            <w:r w:rsidRPr="00655028">
              <w:rPr>
                <w:rFonts w:asciiTheme="minorHAnsi" w:hAnsiTheme="minorHAnsi" w:cstheme="minorHAnsi"/>
                <w:sz w:val="22"/>
                <w:szCs w:val="22"/>
              </w:rPr>
              <w:t xml:space="preserve">To ensure that all staff in the assigned speciality are regularly appraised and have a Personal Development Plan which supports the priorities of the assigned speciality, the Division and are aligned with the strategic direction of the Trust. </w:t>
            </w:r>
          </w:p>
          <w:p w14:paraId="036BB5C8" w14:textId="6A95F9F1" w:rsidR="00193C88" w:rsidRPr="00655028" w:rsidRDefault="00193C88" w:rsidP="00655028">
            <w:pPr>
              <w:pStyle w:val="Default"/>
              <w:numPr>
                <w:ilvl w:val="0"/>
                <w:numId w:val="7"/>
              </w:numPr>
              <w:ind w:left="284" w:hanging="284"/>
              <w:jc w:val="both"/>
              <w:rPr>
                <w:rFonts w:asciiTheme="minorHAnsi" w:hAnsiTheme="minorHAnsi" w:cstheme="minorHAnsi"/>
                <w:sz w:val="22"/>
                <w:szCs w:val="22"/>
              </w:rPr>
            </w:pPr>
            <w:r w:rsidRPr="00655028">
              <w:rPr>
                <w:rFonts w:asciiTheme="minorHAnsi" w:hAnsiTheme="minorHAnsi" w:cstheme="minorHAnsi"/>
                <w:sz w:val="22"/>
                <w:szCs w:val="22"/>
              </w:rPr>
              <w:t xml:space="preserve">To ensure the assigned speciality has an integrated workforce plan to ensure continuity of high quality care and that this is aligned alongside the service plan and the financial plan of the Division. </w:t>
            </w:r>
          </w:p>
          <w:p w14:paraId="562964AA" w14:textId="5F17C9CD" w:rsidR="00193C88" w:rsidRPr="00655028" w:rsidRDefault="00193C88" w:rsidP="00655028">
            <w:pPr>
              <w:pStyle w:val="Default"/>
              <w:numPr>
                <w:ilvl w:val="0"/>
                <w:numId w:val="7"/>
              </w:numPr>
              <w:ind w:left="284" w:hanging="284"/>
              <w:jc w:val="both"/>
              <w:rPr>
                <w:rFonts w:asciiTheme="minorHAnsi" w:hAnsiTheme="minorHAnsi" w:cstheme="minorHAnsi"/>
                <w:sz w:val="22"/>
                <w:szCs w:val="22"/>
              </w:rPr>
            </w:pPr>
            <w:r w:rsidRPr="00655028">
              <w:rPr>
                <w:rFonts w:asciiTheme="minorHAnsi" w:hAnsiTheme="minorHAnsi" w:cstheme="minorHAnsi"/>
                <w:sz w:val="22"/>
                <w:szCs w:val="22"/>
              </w:rPr>
              <w:t xml:space="preserve">Provide strong visible leadership within the assigned speciality in partnership with the Clinical Service Lead and Matron. </w:t>
            </w:r>
          </w:p>
          <w:p w14:paraId="16AF8DAB" w14:textId="77777777" w:rsidR="00655028" w:rsidRDefault="00193C88" w:rsidP="00655028">
            <w:pPr>
              <w:pStyle w:val="Default"/>
              <w:numPr>
                <w:ilvl w:val="0"/>
                <w:numId w:val="7"/>
              </w:numPr>
              <w:ind w:left="284" w:hanging="284"/>
              <w:jc w:val="both"/>
              <w:rPr>
                <w:rFonts w:asciiTheme="minorHAnsi" w:hAnsiTheme="minorHAnsi" w:cstheme="minorHAnsi"/>
                <w:sz w:val="22"/>
                <w:szCs w:val="22"/>
              </w:rPr>
            </w:pPr>
            <w:r w:rsidRPr="00655028">
              <w:rPr>
                <w:rFonts w:asciiTheme="minorHAnsi" w:hAnsiTheme="minorHAnsi" w:cstheme="minorHAnsi"/>
                <w:sz w:val="22"/>
                <w:szCs w:val="22"/>
              </w:rPr>
              <w:t xml:space="preserve">Develop and maintain constructive staff engagement to support quality and continued and consistent achievement of performance targets. </w:t>
            </w:r>
          </w:p>
          <w:p w14:paraId="084AA674" w14:textId="0AAFD5F3" w:rsidR="00655028" w:rsidRPr="00655028" w:rsidRDefault="00655028" w:rsidP="00655028">
            <w:pPr>
              <w:pStyle w:val="Default"/>
              <w:ind w:left="284"/>
              <w:jc w:val="both"/>
              <w:rPr>
                <w:rFonts w:asciiTheme="minorHAnsi" w:hAnsiTheme="minorHAnsi" w:cstheme="minorHAnsi"/>
                <w:sz w:val="22"/>
                <w:szCs w:val="22"/>
              </w:rPr>
            </w:pPr>
          </w:p>
        </w:tc>
      </w:tr>
      <w:tr w:rsidR="00A2495A" w:rsidRPr="00A2495A" w14:paraId="7E21D05C" w14:textId="77777777" w:rsidTr="0038661C">
        <w:tc>
          <w:tcPr>
            <w:tcW w:w="9242" w:type="dxa"/>
            <w:gridSpan w:val="2"/>
            <w:shd w:val="clear" w:color="auto" w:fill="FBD4B4"/>
          </w:tcPr>
          <w:p w14:paraId="63DF0724" w14:textId="20B77B08"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lastRenderedPageBreak/>
              <w:t xml:space="preserve">TRUST </w:t>
            </w:r>
            <w:r w:rsidR="001B37EE">
              <w:rPr>
                <w:rFonts w:ascii="Calibri" w:eastAsia="Times New Roman" w:hAnsi="Calibri" w:cs="Calibri"/>
                <w:b/>
                <w:lang w:eastAsia="en-GB"/>
              </w:rPr>
              <w:t xml:space="preserve">VISION &amp; </w:t>
            </w:r>
            <w:r w:rsidRPr="00A2495A">
              <w:rPr>
                <w:rFonts w:ascii="Calibri" w:eastAsia="Times New Roman" w:hAnsi="Calibri" w:cs="Calibri"/>
                <w:b/>
                <w:lang w:eastAsia="en-GB"/>
              </w:rPr>
              <w:t>VALUES</w:t>
            </w:r>
          </w:p>
        </w:tc>
      </w:tr>
      <w:tr w:rsidR="00A2495A" w:rsidRPr="00A2495A" w14:paraId="7F386123" w14:textId="77777777" w:rsidTr="0038661C">
        <w:tc>
          <w:tcPr>
            <w:tcW w:w="9242" w:type="dxa"/>
            <w:gridSpan w:val="2"/>
            <w:shd w:val="clear" w:color="auto" w:fill="auto"/>
          </w:tcPr>
          <w:p w14:paraId="724342EB" w14:textId="77777777" w:rsidR="00A2495A" w:rsidRPr="00A2495A" w:rsidRDefault="00A2495A" w:rsidP="00A2495A">
            <w:pPr>
              <w:spacing w:after="0" w:line="240" w:lineRule="auto"/>
              <w:rPr>
                <w:rFonts w:ascii="Calibri" w:eastAsia="Times New Roman" w:hAnsi="Calibri" w:cs="Calibri"/>
                <w:i/>
                <w:color w:val="FF0000"/>
                <w:sz w:val="20"/>
                <w:szCs w:val="20"/>
                <w:lang w:eastAsia="en-GB"/>
              </w:rPr>
            </w:pPr>
            <w:r w:rsidRPr="00A2495A">
              <w:rPr>
                <w:rFonts w:ascii="Calibri" w:eastAsia="Times New Roman" w:hAnsi="Calibri" w:cs="Calibri"/>
                <w:i/>
                <w:color w:val="FF0000"/>
                <w:sz w:val="20"/>
                <w:szCs w:val="20"/>
                <w:lang w:eastAsia="en-GB"/>
              </w:rPr>
              <w:t xml:space="preserve">DO NOT AMEND THIS SECTION </w:t>
            </w:r>
          </w:p>
          <w:p w14:paraId="4AB8BFD9" w14:textId="0232CDCE" w:rsidR="001B37EE" w:rsidRPr="00A2495A" w:rsidRDefault="001B37EE" w:rsidP="001B37EE">
            <w:pPr>
              <w:spacing w:after="0" w:line="240" w:lineRule="auto"/>
              <w:rPr>
                <w:rFonts w:ascii="Calibri" w:eastAsia="Times New Roman" w:hAnsi="Calibri" w:cs="Calibri"/>
                <w:lang w:eastAsia="en-GB"/>
              </w:rPr>
            </w:pPr>
            <w:r w:rsidRPr="00A2495A">
              <w:rPr>
                <w:rFonts w:ascii="Calibri" w:eastAsia="Times New Roman" w:hAnsi="Calibri" w:cs="Calibri"/>
                <w:lang w:eastAsia="en-GB"/>
              </w:rPr>
              <w:t>The Trust is clear on its vision and values and aims to make sure that they are reflected in all areas of activity. Our vision is simple; building healthier lives. Our values apply to every member of staff</w:t>
            </w:r>
            <w:r>
              <w:rPr>
                <w:rFonts w:ascii="Calibri" w:eastAsia="Times New Roman" w:hAnsi="Calibri" w:cs="Calibri"/>
                <w:lang w:eastAsia="en-GB"/>
              </w:rPr>
              <w:t xml:space="preserve"> and help us in all we do and how we do it.</w:t>
            </w:r>
            <w:r w:rsidRPr="00A2495A">
              <w:rPr>
                <w:rFonts w:ascii="Calibri" w:eastAsia="Times New Roman" w:hAnsi="Calibri" w:cs="Calibri"/>
                <w:lang w:eastAsia="en-GB"/>
              </w:rPr>
              <w:t xml:space="preserve"> They are:</w:t>
            </w:r>
          </w:p>
          <w:p w14:paraId="1E880C87" w14:textId="77777777" w:rsidR="001B37EE" w:rsidRDefault="001B37EE" w:rsidP="00A2495A">
            <w:pPr>
              <w:spacing w:after="0" w:line="240" w:lineRule="auto"/>
              <w:rPr>
                <w:rFonts w:ascii="Times New Roman" w:eastAsia="Times New Roman" w:hAnsi="Times New Roman" w:cs="Times New Roman"/>
                <w:sz w:val="24"/>
                <w:szCs w:val="24"/>
                <w:lang w:eastAsia="en-GB"/>
              </w:rPr>
            </w:pPr>
          </w:p>
          <w:p w14:paraId="788A8DAD" w14:textId="73EA363E" w:rsidR="00A2495A" w:rsidRPr="00A2495A" w:rsidRDefault="001B37EE" w:rsidP="00A2495A">
            <w:pPr>
              <w:spacing w:after="0" w:line="240" w:lineRule="auto"/>
              <w:rPr>
                <w:rFonts w:ascii="Calibri" w:eastAsia="Times New Roman" w:hAnsi="Calibri" w:cs="Calibri"/>
                <w:lang w:eastAsia="en-GB"/>
              </w:rPr>
            </w:pPr>
            <w:r>
              <w:rPr>
                <w:rFonts w:ascii="Calibri" w:eastAsia="Times New Roman" w:hAnsi="Calibri" w:cs="Calibri"/>
                <w:b/>
                <w:lang w:eastAsia="en-GB"/>
              </w:rPr>
              <w:t>K</w:t>
            </w:r>
            <w:r w:rsidR="00A2495A" w:rsidRPr="00A2495A">
              <w:rPr>
                <w:rFonts w:ascii="Calibri" w:eastAsia="Times New Roman" w:hAnsi="Calibri" w:cs="Calibri"/>
                <w:b/>
                <w:lang w:eastAsia="en-GB"/>
              </w:rPr>
              <w:t>ind</w:t>
            </w:r>
            <w:r w:rsidR="00A2495A" w:rsidRPr="00A2495A">
              <w:rPr>
                <w:rFonts w:ascii="Calibri" w:eastAsia="Times New Roman" w:hAnsi="Calibri" w:cs="Calibri"/>
                <w:lang w:eastAsia="en-GB"/>
              </w:rPr>
              <w:t>: The kindness that people show to each other every day</w:t>
            </w:r>
          </w:p>
          <w:p w14:paraId="62F77ECF" w14:textId="77777777" w:rsidR="00A2495A" w:rsidRPr="00A2495A" w:rsidRDefault="00A2495A" w:rsidP="00A2495A">
            <w:pPr>
              <w:spacing w:after="0" w:line="240" w:lineRule="auto"/>
              <w:rPr>
                <w:rFonts w:ascii="Calibri" w:eastAsia="Times New Roman" w:hAnsi="Calibri" w:cs="Calibri"/>
                <w:lang w:eastAsia="en-GB"/>
              </w:rPr>
            </w:pPr>
            <w:r w:rsidRPr="00A2495A">
              <w:rPr>
                <w:rFonts w:ascii="Calibri" w:eastAsia="Times New Roman" w:hAnsi="Calibri" w:cs="Calibri"/>
                <w:b/>
                <w:lang w:eastAsia="en-GB"/>
              </w:rPr>
              <w:t>Connected</w:t>
            </w:r>
            <w:r w:rsidRPr="00A2495A">
              <w:rPr>
                <w:rFonts w:ascii="Calibri" w:eastAsia="Times New Roman" w:hAnsi="Calibri" w:cs="Calibri"/>
                <w:lang w:eastAsia="en-GB"/>
              </w:rPr>
              <w:t>: The connections we build with everyone around us</w:t>
            </w:r>
          </w:p>
          <w:p w14:paraId="220D9C78" w14:textId="64556737" w:rsidR="00A2495A" w:rsidRPr="00A2495A" w:rsidRDefault="00A2495A" w:rsidP="00A2495A">
            <w:pPr>
              <w:spacing w:after="0" w:line="240" w:lineRule="auto"/>
              <w:rPr>
                <w:rFonts w:ascii="Calibri" w:eastAsia="Times New Roman" w:hAnsi="Calibri" w:cs="Calibri"/>
                <w:lang w:eastAsia="en-GB"/>
              </w:rPr>
            </w:pPr>
            <w:r w:rsidRPr="00A2495A">
              <w:rPr>
                <w:rFonts w:ascii="Calibri" w:eastAsia="Times New Roman" w:hAnsi="Calibri" w:cs="Calibri"/>
                <w:b/>
                <w:lang w:eastAsia="en-GB"/>
              </w:rPr>
              <w:t>Bold</w:t>
            </w:r>
            <w:r w:rsidR="001B37EE">
              <w:rPr>
                <w:rFonts w:ascii="Calibri" w:eastAsia="Times New Roman" w:hAnsi="Calibri" w:cs="Calibri"/>
                <w:lang w:eastAsia="en-GB"/>
              </w:rPr>
              <w:t>: T</w:t>
            </w:r>
            <w:r w:rsidRPr="00A2495A">
              <w:rPr>
                <w:rFonts w:ascii="Calibri" w:eastAsia="Times New Roman" w:hAnsi="Calibri" w:cs="Calibri"/>
                <w:lang w:eastAsia="en-GB"/>
              </w:rPr>
              <w:t>he ability to be bold in how we think, speak and act</w:t>
            </w:r>
          </w:p>
        </w:tc>
      </w:tr>
      <w:tr w:rsidR="00A2495A" w:rsidRPr="00A2495A" w14:paraId="0505D93B" w14:textId="77777777" w:rsidTr="0038661C">
        <w:tc>
          <w:tcPr>
            <w:tcW w:w="9242" w:type="dxa"/>
            <w:gridSpan w:val="2"/>
            <w:shd w:val="clear" w:color="auto" w:fill="FBD4B4"/>
          </w:tcPr>
          <w:p w14:paraId="30F368BD"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ADDITIONAL INFORMATION</w:t>
            </w:r>
          </w:p>
        </w:tc>
      </w:tr>
      <w:tr w:rsidR="00A2495A" w:rsidRPr="00A2495A" w14:paraId="05119066" w14:textId="77777777" w:rsidTr="0038661C">
        <w:tc>
          <w:tcPr>
            <w:tcW w:w="9242" w:type="dxa"/>
            <w:gridSpan w:val="2"/>
            <w:shd w:val="clear" w:color="auto" w:fill="auto"/>
          </w:tcPr>
          <w:p w14:paraId="4C6B533F" w14:textId="77777777" w:rsidR="00A2495A" w:rsidRPr="00A2495A" w:rsidRDefault="00A2495A" w:rsidP="00A2495A">
            <w:pPr>
              <w:spacing w:after="0" w:line="240" w:lineRule="auto"/>
              <w:rPr>
                <w:rFonts w:ascii="Calibri" w:eastAsia="Times New Roman" w:hAnsi="Calibri" w:cs="Calibri"/>
                <w:lang w:eastAsia="en-GB"/>
              </w:rPr>
            </w:pPr>
            <w:r w:rsidRPr="00A2495A">
              <w:rPr>
                <w:rFonts w:ascii="Calibri" w:eastAsia="Times New Roman" w:hAnsi="Calibri" w:cs="Calibri"/>
                <w:lang w:eastAsia="en-GB"/>
              </w:rPr>
              <w:t xml:space="preserve">This job description is designed to assist post holders with understanding what is expected of them in their role. University Hospitals Birmingham NHS Foundation Trust may ask them to undertake other duties, as required, which are not necessarily specified on the job description but which are commensurate with the grade of the post. </w:t>
            </w:r>
          </w:p>
          <w:p w14:paraId="4C65752C" w14:textId="77777777" w:rsidR="00A2495A" w:rsidRPr="00A2495A" w:rsidRDefault="00A2495A" w:rsidP="00A2495A">
            <w:pPr>
              <w:spacing w:after="0" w:line="240" w:lineRule="auto"/>
              <w:rPr>
                <w:rFonts w:ascii="Calibri" w:eastAsia="Times New Roman" w:hAnsi="Calibri" w:cs="Calibri"/>
                <w:lang w:eastAsia="en-GB"/>
              </w:rPr>
            </w:pPr>
          </w:p>
          <w:p w14:paraId="6B4CF84A" w14:textId="77777777" w:rsidR="00A2495A" w:rsidRPr="00A2495A" w:rsidRDefault="00A2495A" w:rsidP="00A2495A">
            <w:pPr>
              <w:spacing w:after="0" w:line="240" w:lineRule="auto"/>
              <w:rPr>
                <w:rFonts w:ascii="Calibri" w:eastAsia="Times New Roman" w:hAnsi="Calibri" w:cs="Calibri"/>
                <w:lang w:eastAsia="en-GB"/>
              </w:rPr>
            </w:pPr>
            <w:r w:rsidRPr="00A2495A">
              <w:rPr>
                <w:rFonts w:ascii="Calibri" w:eastAsia="Times New Roman" w:hAnsi="Calibri" w:cs="Calibri"/>
                <w:lang w:eastAsia="en-GB"/>
              </w:rPr>
              <w:t>The job description itself may be amended from time to time in consultation with the post holder, within the scope and general level of responsibility attached to the post.</w:t>
            </w:r>
          </w:p>
          <w:p w14:paraId="21062DA3" w14:textId="6A89E2E9" w:rsidR="00A2495A" w:rsidRPr="00A2495A" w:rsidRDefault="00A2495A" w:rsidP="0038661C">
            <w:pPr>
              <w:spacing w:after="0" w:line="240" w:lineRule="auto"/>
              <w:rPr>
                <w:rFonts w:ascii="Calibri" w:eastAsia="Times New Roman" w:hAnsi="Calibri" w:cs="Calibri"/>
                <w:lang w:eastAsia="en-GB"/>
              </w:rPr>
            </w:pPr>
            <w:r w:rsidRPr="00A2495A">
              <w:rPr>
                <w:rFonts w:ascii="Calibri" w:eastAsia="Times New Roman" w:hAnsi="Calibri" w:cs="Calibri"/>
                <w:lang w:eastAsia="en-GB"/>
              </w:rPr>
              <w:t>All post holders must take responsibility to ensure that they are aware of and adhere to all Trust policies, procedures and guidelines relating to their employment regardless of their position within the Trust</w:t>
            </w:r>
            <w:r w:rsidR="0038661C">
              <w:rPr>
                <w:rFonts w:ascii="Calibri" w:eastAsia="Times New Roman" w:hAnsi="Calibri" w:cs="Calibri"/>
                <w:lang w:eastAsia="en-GB"/>
              </w:rPr>
              <w:t>.</w:t>
            </w:r>
          </w:p>
        </w:tc>
      </w:tr>
    </w:tbl>
    <w:p w14:paraId="0DDD5CCB" w14:textId="77777777" w:rsidR="00A2495A" w:rsidRPr="00A2495A" w:rsidRDefault="00A2495A" w:rsidP="00A2495A">
      <w:pPr>
        <w:spacing w:after="0" w:line="240" w:lineRule="auto"/>
        <w:rPr>
          <w:rFonts w:ascii="Calibri" w:eastAsia="Times New Roman" w:hAnsi="Calibri" w:cs="Calibri"/>
          <w:lang w:eastAsia="en-GB"/>
        </w:rPr>
      </w:pPr>
    </w:p>
    <w:p w14:paraId="6318A2A1" w14:textId="0BBEA6EB" w:rsidR="00A2495A" w:rsidRPr="00A2495A" w:rsidRDefault="0038661C" w:rsidP="00A2495A">
      <w:pPr>
        <w:spacing w:after="0" w:line="240" w:lineRule="auto"/>
        <w:rPr>
          <w:rFonts w:ascii="Calibri" w:eastAsia="Times New Roman" w:hAnsi="Calibri" w:cs="Calibri"/>
          <w:lang w:eastAsia="en-GB"/>
        </w:rPr>
      </w:pPr>
      <w:r>
        <w:rPr>
          <w:rFonts w:ascii="Calibri" w:eastAsia="Times New Roman" w:hAnsi="Calibri" w:cs="Calibri"/>
          <w:lang w:eastAsia="en-GB"/>
        </w:rPr>
        <w:t xml:space="preserve">Last Updated: </w:t>
      </w:r>
      <w:r w:rsidR="00655028">
        <w:rPr>
          <w:rFonts w:ascii="Calibri" w:eastAsia="Times New Roman" w:hAnsi="Calibri" w:cs="Calibri"/>
          <w:lang w:eastAsia="en-GB"/>
        </w:rPr>
        <w:t>March 2023</w:t>
      </w:r>
    </w:p>
    <w:p w14:paraId="4323ED21" w14:textId="77777777" w:rsidR="00A2495A" w:rsidRDefault="00A2495A" w:rsidP="00A2495A">
      <w:pPr>
        <w:spacing w:after="0" w:line="240" w:lineRule="auto"/>
        <w:rPr>
          <w:rFonts w:ascii="Calibri" w:eastAsia="Times New Roman" w:hAnsi="Calibri" w:cs="Calibri"/>
          <w:lang w:eastAsia="en-GB"/>
        </w:rPr>
      </w:pPr>
    </w:p>
    <w:p w14:paraId="2C163BC5" w14:textId="77777777" w:rsidR="00655028" w:rsidRPr="00A2495A" w:rsidRDefault="00655028" w:rsidP="00A2495A">
      <w:pPr>
        <w:spacing w:after="0" w:line="240" w:lineRule="auto"/>
        <w:rPr>
          <w:rFonts w:ascii="Calibri" w:eastAsia="Times New Roman" w:hAnsi="Calibri" w:cs="Calibri"/>
          <w:lang w:eastAsia="en-GB"/>
        </w:rPr>
      </w:pPr>
    </w:p>
    <w:p w14:paraId="544CE161" w14:textId="77777777" w:rsidR="00A2495A" w:rsidRPr="00655028" w:rsidRDefault="00A2495A" w:rsidP="00A2495A">
      <w:pPr>
        <w:spacing w:after="0" w:line="240" w:lineRule="auto"/>
        <w:rPr>
          <w:rFonts w:ascii="Calibri" w:eastAsia="Times New Roman" w:hAnsi="Calibri" w:cs="Calibri"/>
          <w:b/>
          <w:sz w:val="28"/>
          <w:szCs w:val="28"/>
          <w:lang w:eastAsia="en-GB"/>
        </w:rPr>
      </w:pPr>
      <w:r w:rsidRPr="00655028">
        <w:rPr>
          <w:rFonts w:ascii="Calibri" w:eastAsia="Times New Roman" w:hAnsi="Calibri" w:cs="Calibri"/>
          <w:b/>
          <w:sz w:val="28"/>
          <w:szCs w:val="28"/>
          <w:lang w:eastAsia="en-GB"/>
        </w:rPr>
        <w:t xml:space="preserve">PERSON SPECIFICATION </w:t>
      </w:r>
    </w:p>
    <w:p w14:paraId="4EDD0EF6" w14:textId="77777777" w:rsidR="00C45DDC" w:rsidRPr="00655028" w:rsidRDefault="00C45DDC" w:rsidP="00A2495A">
      <w:pPr>
        <w:spacing w:after="0" w:line="240" w:lineRule="auto"/>
        <w:rPr>
          <w:rFonts w:ascii="Calibri" w:eastAsia="Times New Roman" w:hAnsi="Calibri" w:cs="Calibri"/>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2624"/>
      </w:tblGrid>
      <w:tr w:rsidR="00A2495A" w:rsidRPr="00A2495A" w14:paraId="58A9B45B" w14:textId="77777777" w:rsidTr="00C45DDC">
        <w:tc>
          <w:tcPr>
            <w:tcW w:w="9242" w:type="dxa"/>
            <w:gridSpan w:val="2"/>
            <w:shd w:val="clear" w:color="auto" w:fill="auto"/>
          </w:tcPr>
          <w:p w14:paraId="246F30A3" w14:textId="67D64CFF"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 xml:space="preserve">JOB TITLE: </w:t>
            </w:r>
            <w:r w:rsidR="00193C88">
              <w:rPr>
                <w:rFonts w:ascii="Calibri" w:eastAsia="Times New Roman" w:hAnsi="Calibri" w:cs="Calibri"/>
                <w:b/>
                <w:lang w:eastAsia="en-GB"/>
              </w:rPr>
              <w:t>General Manager</w:t>
            </w:r>
          </w:p>
        </w:tc>
      </w:tr>
      <w:tr w:rsidR="00A2495A" w:rsidRPr="00A2495A" w14:paraId="16C5B8CE" w14:textId="77777777" w:rsidTr="00C45DDC">
        <w:tc>
          <w:tcPr>
            <w:tcW w:w="9242" w:type="dxa"/>
            <w:gridSpan w:val="2"/>
            <w:shd w:val="clear" w:color="auto" w:fill="FBD4B4"/>
          </w:tcPr>
          <w:p w14:paraId="0178EA6B" w14:textId="3FB3FEAA" w:rsidR="00A2495A" w:rsidRPr="00A2495A" w:rsidRDefault="0038661C" w:rsidP="00A2495A">
            <w:pPr>
              <w:spacing w:after="0" w:line="240" w:lineRule="auto"/>
              <w:rPr>
                <w:rFonts w:ascii="Calibri" w:eastAsia="Times New Roman" w:hAnsi="Calibri" w:cs="Calibri"/>
                <w:b/>
                <w:lang w:eastAsia="en-GB"/>
              </w:rPr>
            </w:pPr>
            <w:r>
              <w:rPr>
                <w:rFonts w:ascii="Calibri" w:eastAsia="Times New Roman" w:hAnsi="Calibri" w:cs="Calibri"/>
                <w:b/>
                <w:lang w:eastAsia="en-GB"/>
              </w:rPr>
              <w:t xml:space="preserve">TRAINING, </w:t>
            </w:r>
            <w:r w:rsidR="00A2495A" w:rsidRPr="00A2495A">
              <w:rPr>
                <w:rFonts w:ascii="Calibri" w:eastAsia="Times New Roman" w:hAnsi="Calibri" w:cs="Calibri"/>
                <w:b/>
                <w:lang w:eastAsia="en-GB"/>
              </w:rPr>
              <w:t>QUALIFICATIONS</w:t>
            </w:r>
            <w:r>
              <w:rPr>
                <w:rFonts w:ascii="Calibri" w:eastAsia="Times New Roman" w:hAnsi="Calibri" w:cs="Calibri"/>
                <w:b/>
                <w:lang w:eastAsia="en-GB"/>
              </w:rPr>
              <w:t xml:space="preserve"> AND PROFESSIONAL REGISTRATIONS</w:t>
            </w:r>
          </w:p>
        </w:tc>
      </w:tr>
      <w:tr w:rsidR="00C45DDC" w:rsidRPr="00A2495A" w14:paraId="61C48885" w14:textId="77777777" w:rsidTr="00D13907">
        <w:tc>
          <w:tcPr>
            <w:tcW w:w="9242" w:type="dxa"/>
            <w:gridSpan w:val="2"/>
            <w:shd w:val="clear" w:color="auto" w:fill="FBD4B4"/>
          </w:tcPr>
          <w:p w14:paraId="15AB2559" w14:textId="74B868AB" w:rsidR="00C45DDC" w:rsidRPr="00A2495A" w:rsidRDefault="00C45DDC" w:rsidP="00A2495A">
            <w:pPr>
              <w:spacing w:after="0" w:line="240" w:lineRule="auto"/>
              <w:rPr>
                <w:rFonts w:ascii="Calibri" w:eastAsia="Times New Roman" w:hAnsi="Calibri" w:cs="Calibri"/>
                <w:lang w:eastAsia="en-GB"/>
              </w:rPr>
            </w:pPr>
            <w:r w:rsidRPr="00A2495A">
              <w:rPr>
                <w:rFonts w:ascii="Calibri" w:eastAsia="Times New Roman" w:hAnsi="Calibri" w:cs="Calibri"/>
                <w:lang w:eastAsia="en-GB"/>
              </w:rPr>
              <w:t xml:space="preserve">ESSENTIAL </w:t>
            </w:r>
          </w:p>
        </w:tc>
      </w:tr>
      <w:tr w:rsidR="00C45DDC" w:rsidRPr="00A2495A" w14:paraId="5F99ED9C" w14:textId="77777777" w:rsidTr="00C45DDC">
        <w:trPr>
          <w:trHeight w:val="858"/>
        </w:trPr>
        <w:tc>
          <w:tcPr>
            <w:tcW w:w="9242" w:type="dxa"/>
            <w:gridSpan w:val="2"/>
            <w:shd w:val="clear" w:color="auto" w:fill="auto"/>
          </w:tcPr>
          <w:tbl>
            <w:tblPr>
              <w:tblW w:w="9072" w:type="dxa"/>
              <w:tblBorders>
                <w:top w:val="nil"/>
                <w:left w:val="nil"/>
                <w:bottom w:val="nil"/>
                <w:right w:val="nil"/>
              </w:tblBorders>
              <w:tblLook w:val="0000" w:firstRow="0" w:lastRow="0" w:firstColumn="0" w:lastColumn="0" w:noHBand="0" w:noVBand="0"/>
            </w:tblPr>
            <w:tblGrid>
              <w:gridCol w:w="9072"/>
            </w:tblGrid>
            <w:tr w:rsidR="00C45DDC" w14:paraId="14D1E3A2" w14:textId="77777777" w:rsidTr="00C45DDC">
              <w:tblPrEx>
                <w:tblCellMar>
                  <w:top w:w="0" w:type="dxa"/>
                  <w:bottom w:w="0" w:type="dxa"/>
                </w:tblCellMar>
              </w:tblPrEx>
              <w:trPr>
                <w:trHeight w:val="868"/>
              </w:trPr>
              <w:tc>
                <w:tcPr>
                  <w:tcW w:w="9072" w:type="dxa"/>
                </w:tcPr>
                <w:p w14:paraId="1C73CC4C" w14:textId="77777777" w:rsidR="00C45DDC" w:rsidRPr="00655028" w:rsidRDefault="00C45DDC" w:rsidP="00655028">
                  <w:pPr>
                    <w:pStyle w:val="Default"/>
                    <w:numPr>
                      <w:ilvl w:val="0"/>
                      <w:numId w:val="2"/>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GCSE/O Level – English and Maths Grade C or equivalent </w:t>
                  </w:r>
                </w:p>
                <w:p w14:paraId="21714F69" w14:textId="77777777" w:rsidR="00C45DDC" w:rsidRPr="00655028" w:rsidRDefault="00C45DDC" w:rsidP="00655028">
                  <w:pPr>
                    <w:pStyle w:val="Default"/>
                    <w:numPr>
                      <w:ilvl w:val="0"/>
                      <w:numId w:val="2"/>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Educated to degree level or equivalent </w:t>
                  </w:r>
                </w:p>
                <w:p w14:paraId="2A90EC9C" w14:textId="41F6AD87" w:rsidR="00C45DDC" w:rsidRDefault="00C45DDC" w:rsidP="00655028">
                  <w:pPr>
                    <w:pStyle w:val="Default"/>
                    <w:numPr>
                      <w:ilvl w:val="0"/>
                      <w:numId w:val="2"/>
                    </w:numPr>
                    <w:ind w:left="318" w:hanging="426"/>
                    <w:jc w:val="both"/>
                    <w:rPr>
                      <w:sz w:val="23"/>
                      <w:szCs w:val="23"/>
                    </w:rPr>
                  </w:pPr>
                  <w:r w:rsidRPr="00655028">
                    <w:rPr>
                      <w:rFonts w:asciiTheme="minorHAnsi" w:hAnsiTheme="minorHAnsi" w:cstheme="minorHAnsi"/>
                      <w:sz w:val="22"/>
                      <w:szCs w:val="22"/>
                    </w:rPr>
                    <w:t>Post graduate qualifi</w:t>
                  </w:r>
                  <w:r w:rsidRPr="00655028">
                    <w:rPr>
                      <w:rFonts w:asciiTheme="minorHAnsi" w:hAnsiTheme="minorHAnsi" w:cstheme="minorHAnsi"/>
                      <w:sz w:val="22"/>
                      <w:szCs w:val="22"/>
                    </w:rPr>
                    <w:t>cation or equivalent experience</w:t>
                  </w:r>
                </w:p>
              </w:tc>
            </w:tr>
          </w:tbl>
          <w:p w14:paraId="37A8BE51" w14:textId="77777777" w:rsidR="00C45DDC" w:rsidRPr="00A2495A" w:rsidRDefault="00C45DDC" w:rsidP="00C45DDC">
            <w:pPr>
              <w:spacing w:after="0" w:line="240" w:lineRule="auto"/>
              <w:rPr>
                <w:rFonts w:ascii="Calibri" w:eastAsia="Times New Roman" w:hAnsi="Calibri" w:cs="Calibri"/>
                <w:lang w:eastAsia="en-GB"/>
              </w:rPr>
            </w:pPr>
          </w:p>
        </w:tc>
      </w:tr>
      <w:tr w:rsidR="00A2495A" w:rsidRPr="00A2495A" w14:paraId="6068C6DC" w14:textId="77777777" w:rsidTr="00C45DDC">
        <w:tc>
          <w:tcPr>
            <w:tcW w:w="9242" w:type="dxa"/>
            <w:gridSpan w:val="2"/>
            <w:shd w:val="clear" w:color="auto" w:fill="FBD4B4"/>
          </w:tcPr>
          <w:p w14:paraId="2F3D5EC0"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EXPERIENCE &amp; KNOWLEDGE</w:t>
            </w:r>
          </w:p>
        </w:tc>
      </w:tr>
      <w:tr w:rsidR="00C45DDC" w:rsidRPr="00A2495A" w14:paraId="3A1D62FF" w14:textId="77777777" w:rsidTr="000B7724">
        <w:tc>
          <w:tcPr>
            <w:tcW w:w="9242" w:type="dxa"/>
            <w:gridSpan w:val="2"/>
            <w:shd w:val="clear" w:color="auto" w:fill="FBD4B4"/>
          </w:tcPr>
          <w:p w14:paraId="134E3394" w14:textId="08339071" w:rsidR="00C45DDC" w:rsidRPr="00A2495A" w:rsidRDefault="00C45DDC" w:rsidP="00A2495A">
            <w:pPr>
              <w:spacing w:after="0" w:line="240" w:lineRule="auto"/>
              <w:rPr>
                <w:rFonts w:ascii="Calibri" w:eastAsia="Times New Roman" w:hAnsi="Calibri" w:cs="Calibri"/>
                <w:lang w:eastAsia="en-GB"/>
              </w:rPr>
            </w:pPr>
            <w:r w:rsidRPr="00A2495A">
              <w:rPr>
                <w:rFonts w:ascii="Calibri" w:eastAsia="Times New Roman" w:hAnsi="Calibri" w:cs="Calibri"/>
                <w:lang w:eastAsia="en-GB"/>
              </w:rPr>
              <w:t>ESSENTIAL</w:t>
            </w:r>
          </w:p>
        </w:tc>
      </w:tr>
      <w:tr w:rsidR="00C45DDC" w:rsidRPr="00A2495A" w14:paraId="76AC904E" w14:textId="77777777" w:rsidTr="00F13663">
        <w:tc>
          <w:tcPr>
            <w:tcW w:w="9242"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8804"/>
              <w:gridCol w:w="222"/>
            </w:tblGrid>
            <w:tr w:rsidR="00C45DDC" w:rsidRPr="00655028" w14:paraId="37854FB0" w14:textId="77777777">
              <w:tblPrEx>
                <w:tblCellMar>
                  <w:top w:w="0" w:type="dxa"/>
                  <w:bottom w:w="0" w:type="dxa"/>
                </w:tblCellMar>
              </w:tblPrEx>
              <w:trPr>
                <w:trHeight w:val="3427"/>
              </w:trPr>
              <w:tc>
                <w:tcPr>
                  <w:tcW w:w="0" w:type="auto"/>
                </w:tcPr>
                <w:p w14:paraId="0EA7B304" w14:textId="7CE9DFB6" w:rsidR="00C45DDC" w:rsidRPr="00655028" w:rsidRDefault="00C45DDC" w:rsidP="00F734B5">
                  <w:pPr>
                    <w:pStyle w:val="Default"/>
                    <w:numPr>
                      <w:ilvl w:val="0"/>
                      <w:numId w:val="3"/>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Substantial experience in a senior managerial and leadership role within an acute healthcare setting which is commensurate with the complexity and size of the allocated area of responsibility. </w:t>
                  </w:r>
                </w:p>
                <w:p w14:paraId="528B64B6" w14:textId="77777777" w:rsidR="00C45DDC" w:rsidRPr="00655028" w:rsidRDefault="00C45DDC" w:rsidP="00F734B5">
                  <w:pPr>
                    <w:pStyle w:val="Default"/>
                    <w:numPr>
                      <w:ilvl w:val="0"/>
                      <w:numId w:val="3"/>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Knowledge and experience of leading significant change to patient services, delivering tangible and sustained improvements. </w:t>
                  </w:r>
                </w:p>
                <w:p w14:paraId="48A3862A" w14:textId="77777777" w:rsidR="00C45DDC" w:rsidRPr="00655028" w:rsidRDefault="00C45DDC" w:rsidP="00F734B5">
                  <w:pPr>
                    <w:pStyle w:val="Default"/>
                    <w:numPr>
                      <w:ilvl w:val="0"/>
                      <w:numId w:val="3"/>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Experience of developing and maintaining active partnerships with stakeholders in the development of services. </w:t>
                  </w:r>
                </w:p>
                <w:p w14:paraId="445ED040" w14:textId="77777777" w:rsidR="00C45DDC" w:rsidRPr="00655028" w:rsidRDefault="00C45DDC" w:rsidP="00F734B5">
                  <w:pPr>
                    <w:pStyle w:val="Default"/>
                    <w:numPr>
                      <w:ilvl w:val="0"/>
                      <w:numId w:val="3"/>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Experience of improvement measurement systems and understanding of the role of measurement in performance improvement. </w:t>
                  </w:r>
                </w:p>
                <w:p w14:paraId="0467FCAC" w14:textId="77777777" w:rsidR="00C45DDC" w:rsidRPr="00655028" w:rsidRDefault="00C45DDC" w:rsidP="00F734B5">
                  <w:pPr>
                    <w:pStyle w:val="Default"/>
                    <w:numPr>
                      <w:ilvl w:val="0"/>
                      <w:numId w:val="3"/>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Experience of directly line managing and providing strategic leadership to large numbers of specialist staff/multi-disciplinary service teams ranging from bands 3 – 7. </w:t>
                  </w:r>
                </w:p>
                <w:p w14:paraId="245508A9" w14:textId="77777777" w:rsidR="00C45DDC" w:rsidRPr="00655028" w:rsidRDefault="00C45DDC" w:rsidP="00F734B5">
                  <w:pPr>
                    <w:pStyle w:val="Default"/>
                    <w:numPr>
                      <w:ilvl w:val="0"/>
                      <w:numId w:val="3"/>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Experience of managing individual and team performance through the setting of objectives, PDPs and appraisals. </w:t>
                  </w:r>
                </w:p>
                <w:p w14:paraId="6D39FB62" w14:textId="77777777" w:rsidR="00C45DDC" w:rsidRPr="00655028" w:rsidRDefault="00C45DDC" w:rsidP="00F734B5">
                  <w:pPr>
                    <w:pStyle w:val="Default"/>
                    <w:numPr>
                      <w:ilvl w:val="0"/>
                      <w:numId w:val="3"/>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Experience of application of recruitment strategies and workforce development including undertaking skill mix reviews and succession planning. </w:t>
                  </w:r>
                </w:p>
                <w:p w14:paraId="646DBD16" w14:textId="77777777" w:rsidR="00C45DDC" w:rsidRPr="00655028" w:rsidRDefault="00C45DDC" w:rsidP="00F734B5">
                  <w:pPr>
                    <w:pStyle w:val="Default"/>
                    <w:numPr>
                      <w:ilvl w:val="0"/>
                      <w:numId w:val="3"/>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Experience of using service redesign methodology </w:t>
                  </w:r>
                </w:p>
              </w:tc>
              <w:tc>
                <w:tcPr>
                  <w:tcW w:w="0" w:type="auto"/>
                </w:tcPr>
                <w:p w14:paraId="60FBD0C7" w14:textId="20050DA9" w:rsidR="00C45DDC" w:rsidRPr="00655028" w:rsidRDefault="00C45DDC" w:rsidP="00655028">
                  <w:pPr>
                    <w:pStyle w:val="Default"/>
                    <w:ind w:left="426" w:hanging="318"/>
                    <w:jc w:val="both"/>
                    <w:rPr>
                      <w:rFonts w:asciiTheme="minorHAnsi" w:hAnsiTheme="minorHAnsi" w:cstheme="minorHAnsi"/>
                      <w:sz w:val="22"/>
                      <w:szCs w:val="22"/>
                    </w:rPr>
                  </w:pPr>
                </w:p>
              </w:tc>
            </w:tr>
          </w:tbl>
          <w:p w14:paraId="3FFDD308" w14:textId="77777777" w:rsidR="00C45DDC" w:rsidRPr="00655028" w:rsidRDefault="00C45DDC" w:rsidP="00F734B5">
            <w:pPr>
              <w:pStyle w:val="Default"/>
              <w:numPr>
                <w:ilvl w:val="0"/>
                <w:numId w:val="3"/>
              </w:numPr>
              <w:ind w:left="426" w:hanging="426"/>
              <w:jc w:val="both"/>
              <w:rPr>
                <w:rFonts w:asciiTheme="minorHAnsi" w:hAnsiTheme="minorHAnsi" w:cstheme="minorHAnsi"/>
                <w:sz w:val="22"/>
                <w:szCs w:val="22"/>
              </w:rPr>
            </w:pPr>
            <w:r w:rsidRPr="00655028">
              <w:rPr>
                <w:rFonts w:asciiTheme="minorHAnsi" w:hAnsiTheme="minorHAnsi" w:cstheme="minorHAnsi"/>
                <w:sz w:val="22"/>
                <w:szCs w:val="22"/>
              </w:rPr>
              <w:lastRenderedPageBreak/>
              <w:t xml:space="preserve">Has a highly developed understanding of the changing NHS environment and its impact on service provision and staff. </w:t>
            </w:r>
          </w:p>
          <w:p w14:paraId="0795BD31" w14:textId="77777777" w:rsidR="00C45DDC" w:rsidRPr="00655028" w:rsidRDefault="00C45DDC" w:rsidP="00F734B5">
            <w:pPr>
              <w:pStyle w:val="Default"/>
              <w:numPr>
                <w:ilvl w:val="0"/>
                <w:numId w:val="3"/>
              </w:numPr>
              <w:ind w:left="426"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Impact – uses a variety of methods to gain support for ideas, strategies and values. </w:t>
            </w:r>
          </w:p>
          <w:p w14:paraId="1687A7C4" w14:textId="77777777" w:rsidR="00C45DDC" w:rsidRPr="00655028" w:rsidRDefault="00C45DDC" w:rsidP="00F734B5">
            <w:pPr>
              <w:pStyle w:val="Default"/>
              <w:numPr>
                <w:ilvl w:val="0"/>
                <w:numId w:val="3"/>
              </w:numPr>
              <w:ind w:left="426"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Understanding of how to use technology to support delivery of improvements to services. </w:t>
            </w:r>
          </w:p>
          <w:p w14:paraId="6D3BCF0F" w14:textId="77777777" w:rsidR="00C45DDC" w:rsidRPr="00655028" w:rsidRDefault="00C45DDC" w:rsidP="00F734B5">
            <w:pPr>
              <w:pStyle w:val="Default"/>
              <w:numPr>
                <w:ilvl w:val="0"/>
                <w:numId w:val="3"/>
              </w:numPr>
              <w:ind w:left="426"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Application of absence management, sickness, disciplinary and grievance policies in accordance with UHB HR policies </w:t>
            </w:r>
          </w:p>
          <w:p w14:paraId="296083C9" w14:textId="281B0FD8" w:rsidR="00C45DDC" w:rsidRPr="00655028" w:rsidRDefault="00C45DDC" w:rsidP="00F734B5">
            <w:pPr>
              <w:pStyle w:val="ListParagraph"/>
              <w:numPr>
                <w:ilvl w:val="0"/>
                <w:numId w:val="3"/>
              </w:numPr>
              <w:spacing w:after="0" w:line="240" w:lineRule="auto"/>
              <w:ind w:left="426" w:hanging="426"/>
              <w:jc w:val="both"/>
              <w:rPr>
                <w:rFonts w:eastAsia="Times New Roman" w:cstheme="minorHAnsi"/>
                <w:lang w:eastAsia="en-GB"/>
              </w:rPr>
            </w:pPr>
            <w:r w:rsidRPr="00655028">
              <w:rPr>
                <w:rFonts w:cstheme="minorHAnsi"/>
              </w:rPr>
              <w:t xml:space="preserve">Uses technical, non-verbal and visual aids effectively. </w:t>
            </w:r>
          </w:p>
        </w:tc>
      </w:tr>
      <w:tr w:rsidR="00A2495A" w:rsidRPr="00A2495A" w14:paraId="205167F4" w14:textId="77777777" w:rsidTr="00C45DDC">
        <w:tc>
          <w:tcPr>
            <w:tcW w:w="9242" w:type="dxa"/>
            <w:gridSpan w:val="2"/>
            <w:shd w:val="clear" w:color="auto" w:fill="FBD4B4"/>
          </w:tcPr>
          <w:p w14:paraId="5528FBD1"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lastRenderedPageBreak/>
              <w:t xml:space="preserve">SKILLS &amp; ABILITY </w:t>
            </w:r>
          </w:p>
        </w:tc>
      </w:tr>
      <w:tr w:rsidR="00655028" w:rsidRPr="00A2495A" w14:paraId="4AB04531" w14:textId="77777777" w:rsidTr="007D7948">
        <w:tc>
          <w:tcPr>
            <w:tcW w:w="9242" w:type="dxa"/>
            <w:gridSpan w:val="2"/>
            <w:shd w:val="clear" w:color="auto" w:fill="FBD4B4"/>
          </w:tcPr>
          <w:p w14:paraId="225C5186" w14:textId="2E0B1ACB" w:rsidR="00655028" w:rsidRPr="00A2495A" w:rsidRDefault="00655028" w:rsidP="00A2495A">
            <w:pPr>
              <w:spacing w:after="0" w:line="240" w:lineRule="auto"/>
              <w:rPr>
                <w:rFonts w:ascii="Calibri" w:eastAsia="Times New Roman" w:hAnsi="Calibri" w:cs="Calibri"/>
                <w:lang w:eastAsia="en-GB"/>
              </w:rPr>
            </w:pPr>
            <w:r w:rsidRPr="00A2495A">
              <w:rPr>
                <w:rFonts w:ascii="Calibri" w:eastAsia="Times New Roman" w:hAnsi="Calibri" w:cs="Calibri"/>
                <w:lang w:eastAsia="en-GB"/>
              </w:rPr>
              <w:t>ESSENTIAL</w:t>
            </w:r>
          </w:p>
        </w:tc>
      </w:tr>
      <w:tr w:rsidR="00655028" w:rsidRPr="00A2495A" w14:paraId="15E6863D" w14:textId="77777777" w:rsidTr="00AA6D45">
        <w:tc>
          <w:tcPr>
            <w:tcW w:w="9242"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8804"/>
              <w:gridCol w:w="222"/>
            </w:tblGrid>
            <w:tr w:rsidR="00655028" w14:paraId="00CDCDE3" w14:textId="77777777">
              <w:tblPrEx>
                <w:tblCellMar>
                  <w:top w:w="0" w:type="dxa"/>
                  <w:bottom w:w="0" w:type="dxa"/>
                </w:tblCellMar>
              </w:tblPrEx>
              <w:trPr>
                <w:trHeight w:val="5067"/>
              </w:trPr>
              <w:tc>
                <w:tcPr>
                  <w:tcW w:w="0" w:type="auto"/>
                </w:tcPr>
                <w:p w14:paraId="51A038FB"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Organisational skills – able to deliver objectives within an agreed timeframe. </w:t>
                  </w:r>
                </w:p>
                <w:p w14:paraId="0AB6C37D"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Leadership – highly developed leadership and influencing skills with the ability to enthuse, motivate and involve individuals and teams and have them understand the Trust’s and assigned speciality’s expectations. </w:t>
                  </w:r>
                </w:p>
                <w:p w14:paraId="20763EC5"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Able to build rapport and credibility with senior clinical and managerial teams in the delivery of performance targets, service delivery and change programmes. </w:t>
                  </w:r>
                </w:p>
                <w:p w14:paraId="7352D36B"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Strategic and business planning – able to think and plan strategically, tactically and creatively and gain agreement to relevant plans. </w:t>
                  </w:r>
                </w:p>
                <w:p w14:paraId="4B85B77E"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Analysis – proven numeric and analytical skills. </w:t>
                  </w:r>
                </w:p>
                <w:p w14:paraId="63DD2DEB"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Ability to analyse complex problems and to develop practical and workable solutions to address them. </w:t>
                  </w:r>
                </w:p>
                <w:p w14:paraId="373785B6"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Communication –relates to and communicates with all levels of staff. </w:t>
                  </w:r>
                </w:p>
                <w:p w14:paraId="68115BD3"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Able to prioritise work in the face of competing demands. </w:t>
                  </w:r>
                </w:p>
                <w:p w14:paraId="7CFC9D24"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Strong sense of personal and team accountability coupled with a clear understanding of the boundaries around delegated authority. </w:t>
                  </w:r>
                </w:p>
                <w:p w14:paraId="02257913"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Able to collaborate constructively with internal and external partners to create conditions for successful partnership working. </w:t>
                  </w:r>
                </w:p>
                <w:p w14:paraId="72A27F47"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Extensive knowledge of practice and policy across a broad range of financial responsibilities including the management of budgetary expenditure up to £15m </w:t>
                  </w:r>
                </w:p>
                <w:p w14:paraId="5EF9BB88" w14:textId="77777777" w:rsidR="00655028" w:rsidRPr="00655028" w:rsidRDefault="00655028" w:rsidP="00F734B5">
                  <w:pPr>
                    <w:pStyle w:val="Default"/>
                    <w:numPr>
                      <w:ilvl w:val="0"/>
                      <w:numId w:val="8"/>
                    </w:numPr>
                    <w:ind w:left="318" w:hanging="426"/>
                    <w:jc w:val="both"/>
                    <w:rPr>
                      <w:rFonts w:asciiTheme="minorHAnsi" w:hAnsiTheme="minorHAnsi" w:cstheme="minorHAnsi"/>
                      <w:sz w:val="22"/>
                      <w:szCs w:val="22"/>
                    </w:rPr>
                  </w:pPr>
                  <w:r w:rsidRPr="00655028">
                    <w:rPr>
                      <w:rFonts w:asciiTheme="minorHAnsi" w:hAnsiTheme="minorHAnsi" w:cstheme="minorHAnsi"/>
                      <w:sz w:val="22"/>
                      <w:szCs w:val="22"/>
                    </w:rPr>
                    <w:t xml:space="preserve">Presentation skills – presents concepts and ideas clearly so that others understand what is being communicated. </w:t>
                  </w:r>
                </w:p>
                <w:p w14:paraId="2D9C412D" w14:textId="77777777" w:rsidR="00655028" w:rsidRDefault="00655028" w:rsidP="00F734B5">
                  <w:pPr>
                    <w:pStyle w:val="Default"/>
                    <w:numPr>
                      <w:ilvl w:val="0"/>
                      <w:numId w:val="8"/>
                    </w:numPr>
                    <w:ind w:left="318" w:hanging="426"/>
                    <w:jc w:val="both"/>
                    <w:rPr>
                      <w:sz w:val="23"/>
                      <w:szCs w:val="23"/>
                    </w:rPr>
                  </w:pPr>
                  <w:r w:rsidRPr="00655028">
                    <w:rPr>
                      <w:rFonts w:asciiTheme="minorHAnsi" w:hAnsiTheme="minorHAnsi" w:cstheme="minorHAnsi"/>
                      <w:sz w:val="22"/>
                      <w:szCs w:val="22"/>
                    </w:rPr>
                    <w:t>Political acumen.</w:t>
                  </w:r>
                  <w:r>
                    <w:rPr>
                      <w:sz w:val="23"/>
                      <w:szCs w:val="23"/>
                    </w:rPr>
                    <w:t xml:space="preserve"> </w:t>
                  </w:r>
                </w:p>
              </w:tc>
              <w:tc>
                <w:tcPr>
                  <w:tcW w:w="0" w:type="auto"/>
                </w:tcPr>
                <w:p w14:paraId="5E7D1CFC" w14:textId="77777777" w:rsidR="00655028" w:rsidRDefault="00655028">
                  <w:pPr>
                    <w:pStyle w:val="Default"/>
                    <w:rPr>
                      <w:sz w:val="22"/>
                      <w:szCs w:val="22"/>
                    </w:rPr>
                  </w:pPr>
                  <w:r>
                    <w:rPr>
                      <w:sz w:val="22"/>
                      <w:szCs w:val="22"/>
                    </w:rPr>
                    <w:t xml:space="preserve"> </w:t>
                  </w:r>
                </w:p>
              </w:tc>
            </w:tr>
          </w:tbl>
          <w:p w14:paraId="03595A36" w14:textId="77777777" w:rsidR="00655028" w:rsidRPr="00655028" w:rsidRDefault="00655028" w:rsidP="00655028">
            <w:pPr>
              <w:spacing w:after="0" w:line="240" w:lineRule="auto"/>
              <w:rPr>
                <w:rFonts w:ascii="Calibri" w:eastAsia="Times New Roman" w:hAnsi="Calibri" w:cs="Calibri"/>
                <w:lang w:eastAsia="en-GB"/>
              </w:rPr>
            </w:pPr>
          </w:p>
        </w:tc>
      </w:tr>
      <w:tr w:rsidR="00A2495A" w:rsidRPr="00A2495A" w14:paraId="228EA5CF" w14:textId="77777777" w:rsidTr="00F734B5">
        <w:tc>
          <w:tcPr>
            <w:tcW w:w="6327" w:type="dxa"/>
            <w:shd w:val="clear" w:color="auto" w:fill="FBD4B4"/>
          </w:tcPr>
          <w:p w14:paraId="47B8839D" w14:textId="77777777" w:rsidR="00A2495A" w:rsidRPr="00A2495A" w:rsidRDefault="00A2495A" w:rsidP="00A2495A">
            <w:pPr>
              <w:spacing w:after="0" w:line="240" w:lineRule="auto"/>
              <w:rPr>
                <w:rFonts w:ascii="Calibri" w:eastAsia="Times New Roman" w:hAnsi="Calibri" w:cs="Calibri"/>
                <w:b/>
                <w:lang w:eastAsia="en-GB"/>
              </w:rPr>
            </w:pPr>
            <w:r w:rsidRPr="00A2495A">
              <w:rPr>
                <w:rFonts w:ascii="Calibri" w:eastAsia="Times New Roman" w:hAnsi="Calibri" w:cs="Calibri"/>
                <w:b/>
                <w:lang w:eastAsia="en-GB"/>
              </w:rPr>
              <w:t xml:space="preserve">OTHER SPECIFIC REQUIREMENT </w:t>
            </w:r>
          </w:p>
        </w:tc>
        <w:tc>
          <w:tcPr>
            <w:tcW w:w="2915" w:type="dxa"/>
            <w:shd w:val="clear" w:color="auto" w:fill="FBD4B4"/>
          </w:tcPr>
          <w:p w14:paraId="0C9DF362" w14:textId="77777777" w:rsidR="00A2495A" w:rsidRPr="00A2495A" w:rsidRDefault="00A2495A" w:rsidP="00A2495A">
            <w:pPr>
              <w:spacing w:after="0" w:line="240" w:lineRule="auto"/>
              <w:rPr>
                <w:rFonts w:ascii="Calibri" w:eastAsia="Times New Roman" w:hAnsi="Calibri" w:cs="Calibri"/>
                <w:lang w:eastAsia="en-GB"/>
              </w:rPr>
            </w:pPr>
          </w:p>
        </w:tc>
      </w:tr>
      <w:tr w:rsidR="00F734B5" w:rsidRPr="00A2495A" w14:paraId="5A54526F" w14:textId="77777777" w:rsidTr="003C328D">
        <w:tc>
          <w:tcPr>
            <w:tcW w:w="9242" w:type="dxa"/>
            <w:gridSpan w:val="2"/>
            <w:shd w:val="clear" w:color="auto" w:fill="FBD4B4"/>
          </w:tcPr>
          <w:p w14:paraId="06A746D0" w14:textId="709F41A0" w:rsidR="00F734B5" w:rsidRPr="00A2495A" w:rsidRDefault="00F734B5" w:rsidP="00A2495A">
            <w:pPr>
              <w:spacing w:after="0" w:line="240" w:lineRule="auto"/>
              <w:rPr>
                <w:rFonts w:ascii="Calibri" w:eastAsia="Times New Roman" w:hAnsi="Calibri" w:cs="Calibri"/>
                <w:lang w:eastAsia="en-GB"/>
              </w:rPr>
            </w:pPr>
            <w:r w:rsidRPr="00A2495A">
              <w:rPr>
                <w:rFonts w:ascii="Calibri" w:eastAsia="Times New Roman" w:hAnsi="Calibri" w:cs="Calibri"/>
                <w:lang w:eastAsia="en-GB"/>
              </w:rPr>
              <w:t xml:space="preserve">ESSENTIAL </w:t>
            </w:r>
          </w:p>
        </w:tc>
      </w:tr>
      <w:tr w:rsidR="00F734B5" w:rsidRPr="00A2495A" w14:paraId="08AA0F10" w14:textId="77777777" w:rsidTr="007D638A">
        <w:tc>
          <w:tcPr>
            <w:tcW w:w="9242" w:type="dxa"/>
            <w:gridSpan w:val="2"/>
            <w:shd w:val="clear" w:color="auto" w:fill="auto"/>
          </w:tcPr>
          <w:p w14:paraId="77434AFD" w14:textId="77777777" w:rsidR="00F734B5" w:rsidRPr="00F734B5" w:rsidRDefault="00F734B5" w:rsidP="00F734B5">
            <w:pPr>
              <w:pStyle w:val="Default"/>
              <w:numPr>
                <w:ilvl w:val="0"/>
                <w:numId w:val="9"/>
              </w:numPr>
              <w:ind w:left="426" w:hanging="426"/>
              <w:jc w:val="both"/>
              <w:rPr>
                <w:rFonts w:asciiTheme="minorHAnsi" w:hAnsiTheme="minorHAnsi" w:cstheme="minorHAnsi"/>
                <w:sz w:val="22"/>
                <w:szCs w:val="22"/>
              </w:rPr>
            </w:pPr>
            <w:r w:rsidRPr="00F734B5">
              <w:rPr>
                <w:rFonts w:asciiTheme="minorHAnsi" w:hAnsiTheme="minorHAnsi" w:cstheme="minorHAnsi"/>
                <w:sz w:val="22"/>
                <w:szCs w:val="22"/>
              </w:rPr>
              <w:t xml:space="preserve">Self-confidence – states own position on issues; unhesitatingly takes decisions when required within area of authority and commits self and others accordingly. </w:t>
            </w:r>
          </w:p>
          <w:p w14:paraId="6BA0B2C9" w14:textId="77777777" w:rsidR="00F734B5" w:rsidRPr="00F734B5" w:rsidRDefault="00F734B5" w:rsidP="00F734B5">
            <w:pPr>
              <w:pStyle w:val="Default"/>
              <w:numPr>
                <w:ilvl w:val="0"/>
                <w:numId w:val="9"/>
              </w:numPr>
              <w:ind w:left="426" w:hanging="426"/>
              <w:jc w:val="both"/>
              <w:rPr>
                <w:rFonts w:asciiTheme="minorHAnsi" w:hAnsiTheme="minorHAnsi" w:cstheme="minorHAnsi"/>
                <w:sz w:val="22"/>
                <w:szCs w:val="22"/>
              </w:rPr>
            </w:pPr>
            <w:r w:rsidRPr="00F734B5">
              <w:rPr>
                <w:rFonts w:asciiTheme="minorHAnsi" w:hAnsiTheme="minorHAnsi" w:cstheme="minorHAnsi"/>
                <w:sz w:val="22"/>
                <w:szCs w:val="22"/>
              </w:rPr>
              <w:t xml:space="preserve">Flexibility – adapts to ensure achievement of objectives within constantly changing situations and environments. </w:t>
            </w:r>
          </w:p>
          <w:p w14:paraId="0EF7B1FF" w14:textId="77777777" w:rsidR="00F734B5" w:rsidRPr="00F734B5" w:rsidRDefault="00F734B5" w:rsidP="00F734B5">
            <w:pPr>
              <w:pStyle w:val="Default"/>
              <w:numPr>
                <w:ilvl w:val="0"/>
                <w:numId w:val="9"/>
              </w:numPr>
              <w:ind w:left="426" w:hanging="426"/>
              <w:jc w:val="both"/>
              <w:rPr>
                <w:rFonts w:asciiTheme="minorHAnsi" w:hAnsiTheme="minorHAnsi" w:cstheme="minorHAnsi"/>
                <w:sz w:val="22"/>
                <w:szCs w:val="22"/>
              </w:rPr>
            </w:pPr>
            <w:r w:rsidRPr="00F734B5">
              <w:rPr>
                <w:rFonts w:asciiTheme="minorHAnsi" w:hAnsiTheme="minorHAnsi" w:cstheme="minorHAnsi"/>
                <w:sz w:val="22"/>
                <w:szCs w:val="22"/>
              </w:rPr>
              <w:t xml:space="preserve">Self-motivated – possesses high internal work standards, sets stretching yet attainable goals; wants to do things better and to measure progress against targets. </w:t>
            </w:r>
          </w:p>
          <w:p w14:paraId="4F74498B" w14:textId="77777777" w:rsidR="00F734B5" w:rsidRPr="00F734B5" w:rsidRDefault="00F734B5" w:rsidP="00F734B5">
            <w:pPr>
              <w:pStyle w:val="Default"/>
              <w:numPr>
                <w:ilvl w:val="0"/>
                <w:numId w:val="9"/>
              </w:numPr>
              <w:ind w:left="426" w:hanging="426"/>
              <w:jc w:val="both"/>
              <w:rPr>
                <w:rFonts w:asciiTheme="minorHAnsi" w:hAnsiTheme="minorHAnsi" w:cstheme="minorHAnsi"/>
                <w:sz w:val="22"/>
                <w:szCs w:val="22"/>
              </w:rPr>
            </w:pPr>
            <w:r w:rsidRPr="00F734B5">
              <w:rPr>
                <w:rFonts w:asciiTheme="minorHAnsi" w:hAnsiTheme="minorHAnsi" w:cstheme="minorHAnsi"/>
                <w:sz w:val="22"/>
                <w:szCs w:val="22"/>
              </w:rPr>
              <w:t xml:space="preserve">Strong sense of commitment to openness, honesty and integrity in undertaking the role. </w:t>
            </w:r>
          </w:p>
          <w:p w14:paraId="3B364565" w14:textId="77777777" w:rsidR="00F734B5" w:rsidRPr="00F734B5" w:rsidRDefault="00F734B5" w:rsidP="00F734B5">
            <w:pPr>
              <w:pStyle w:val="Default"/>
              <w:numPr>
                <w:ilvl w:val="0"/>
                <w:numId w:val="9"/>
              </w:numPr>
              <w:ind w:left="426" w:hanging="426"/>
              <w:jc w:val="both"/>
              <w:rPr>
                <w:rFonts w:asciiTheme="minorHAnsi" w:hAnsiTheme="minorHAnsi" w:cstheme="minorHAnsi"/>
                <w:sz w:val="22"/>
                <w:szCs w:val="22"/>
              </w:rPr>
            </w:pPr>
            <w:r w:rsidRPr="00F734B5">
              <w:rPr>
                <w:rFonts w:asciiTheme="minorHAnsi" w:hAnsiTheme="minorHAnsi" w:cstheme="minorHAnsi"/>
                <w:sz w:val="22"/>
                <w:szCs w:val="22"/>
              </w:rPr>
              <w:t xml:space="preserve">Commitment to ongoing life-long learning and personal development. </w:t>
            </w:r>
          </w:p>
          <w:p w14:paraId="22BD090D" w14:textId="3F705460" w:rsidR="00F734B5" w:rsidRPr="00F734B5" w:rsidRDefault="00F734B5" w:rsidP="00F734B5">
            <w:pPr>
              <w:numPr>
                <w:ilvl w:val="0"/>
                <w:numId w:val="1"/>
              </w:numPr>
              <w:spacing w:after="0" w:line="240" w:lineRule="auto"/>
              <w:ind w:left="426" w:hanging="426"/>
              <w:jc w:val="both"/>
              <w:rPr>
                <w:rFonts w:eastAsia="Times New Roman" w:cstheme="minorHAnsi"/>
                <w:lang w:eastAsia="en-GB"/>
              </w:rPr>
            </w:pPr>
            <w:r w:rsidRPr="00F734B5">
              <w:rPr>
                <w:rFonts w:cstheme="minorHAnsi"/>
              </w:rPr>
              <w:t xml:space="preserve">Motivation – driven by a genuine interest and concern for the quality and appropriateness of patient services. </w:t>
            </w:r>
          </w:p>
          <w:tbl>
            <w:tblPr>
              <w:tblW w:w="0" w:type="auto"/>
              <w:tblBorders>
                <w:top w:val="nil"/>
                <w:left w:val="nil"/>
                <w:bottom w:val="nil"/>
                <w:right w:val="nil"/>
              </w:tblBorders>
              <w:tblLook w:val="0000" w:firstRow="0" w:lastRow="0" w:firstColumn="0" w:lastColumn="0" w:noHBand="0" w:noVBand="0"/>
            </w:tblPr>
            <w:tblGrid>
              <w:gridCol w:w="8804"/>
              <w:gridCol w:w="222"/>
            </w:tblGrid>
            <w:tr w:rsidR="00F734B5" w:rsidRPr="00F734B5" w14:paraId="5EF5A013" w14:textId="77777777">
              <w:tblPrEx>
                <w:tblCellMar>
                  <w:top w:w="0" w:type="dxa"/>
                  <w:bottom w:w="0" w:type="dxa"/>
                </w:tblCellMar>
              </w:tblPrEx>
              <w:trPr>
                <w:trHeight w:val="527"/>
              </w:trPr>
              <w:tc>
                <w:tcPr>
                  <w:tcW w:w="0" w:type="auto"/>
                </w:tcPr>
                <w:p w14:paraId="4910ED25" w14:textId="77777777" w:rsidR="00F734B5" w:rsidRPr="00F734B5" w:rsidRDefault="00F734B5" w:rsidP="00F734B5">
                  <w:pPr>
                    <w:pStyle w:val="Default"/>
                    <w:numPr>
                      <w:ilvl w:val="0"/>
                      <w:numId w:val="1"/>
                    </w:numPr>
                    <w:ind w:left="318" w:hanging="426"/>
                    <w:jc w:val="both"/>
                    <w:rPr>
                      <w:rFonts w:asciiTheme="minorHAnsi" w:hAnsiTheme="minorHAnsi" w:cstheme="minorHAnsi"/>
                      <w:sz w:val="22"/>
                      <w:szCs w:val="22"/>
                    </w:rPr>
                  </w:pPr>
                  <w:r w:rsidRPr="00F734B5">
                    <w:rPr>
                      <w:rFonts w:asciiTheme="minorHAnsi" w:hAnsiTheme="minorHAnsi" w:cstheme="minorHAnsi"/>
                      <w:sz w:val="22"/>
                      <w:szCs w:val="22"/>
                    </w:rPr>
                    <w:t xml:space="preserve">Flexibility – identifies feasible alternative options in planning and decision making, holds different options in focus simultaneously and evaluates their relative pros and cons. </w:t>
                  </w:r>
                </w:p>
              </w:tc>
              <w:tc>
                <w:tcPr>
                  <w:tcW w:w="0" w:type="auto"/>
                </w:tcPr>
                <w:p w14:paraId="296691D7" w14:textId="5361CC2D" w:rsidR="00F734B5" w:rsidRPr="00F734B5" w:rsidRDefault="00F734B5" w:rsidP="00F734B5">
                  <w:pPr>
                    <w:pStyle w:val="Default"/>
                    <w:ind w:left="425" w:hanging="425"/>
                    <w:jc w:val="both"/>
                    <w:rPr>
                      <w:rFonts w:asciiTheme="minorHAnsi" w:hAnsiTheme="minorHAnsi" w:cstheme="minorHAnsi"/>
                      <w:sz w:val="22"/>
                      <w:szCs w:val="22"/>
                    </w:rPr>
                  </w:pPr>
                </w:p>
              </w:tc>
            </w:tr>
          </w:tbl>
          <w:p w14:paraId="1BFB098C" w14:textId="77777777" w:rsidR="00F734B5" w:rsidRPr="00A2495A" w:rsidRDefault="00F734B5" w:rsidP="00F734B5">
            <w:pPr>
              <w:spacing w:after="0" w:line="240" w:lineRule="auto"/>
              <w:rPr>
                <w:rFonts w:ascii="Calibri" w:eastAsia="Times New Roman" w:hAnsi="Calibri" w:cs="Calibri"/>
                <w:lang w:eastAsia="en-GB"/>
              </w:rPr>
            </w:pPr>
          </w:p>
        </w:tc>
      </w:tr>
    </w:tbl>
    <w:p w14:paraId="75DCA80F" w14:textId="77777777" w:rsidR="00A2495A" w:rsidRPr="00A2495A" w:rsidRDefault="00A2495A" w:rsidP="00A2495A">
      <w:pPr>
        <w:spacing w:after="0" w:line="240" w:lineRule="auto"/>
        <w:rPr>
          <w:rFonts w:ascii="Calibri" w:eastAsia="Times New Roman" w:hAnsi="Calibri" w:cs="Calibri"/>
          <w:b/>
          <w:sz w:val="32"/>
          <w:szCs w:val="32"/>
          <w:lang w:eastAsia="en-GB"/>
        </w:rPr>
      </w:pPr>
    </w:p>
    <w:sectPr w:rsidR="00A2495A" w:rsidRPr="00A2495A" w:rsidSect="00CF694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967CB" w14:textId="77777777" w:rsidR="000C09A5" w:rsidRDefault="000C09A5" w:rsidP="0089702C">
      <w:pPr>
        <w:spacing w:after="0" w:line="240" w:lineRule="auto"/>
      </w:pPr>
      <w:r>
        <w:separator/>
      </w:r>
    </w:p>
  </w:endnote>
  <w:endnote w:type="continuationSeparator" w:id="0">
    <w:p w14:paraId="1E812EB7" w14:textId="77777777" w:rsidR="000C09A5" w:rsidRDefault="000C09A5" w:rsidP="0089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3435" w14:textId="0C1D0BE1" w:rsidR="004B6E00" w:rsidRDefault="004B6E00">
    <w:pPr>
      <w:pStyle w:val="Footer"/>
    </w:pPr>
    <w:r>
      <w:rPr>
        <w:noProof/>
        <w:lang w:eastAsia="en-GB"/>
      </w:rPr>
      <w:drawing>
        <wp:anchor distT="0" distB="0" distL="114300" distR="114300" simplePos="0" relativeHeight="251660288" behindDoc="1" locked="0" layoutInCell="1" allowOverlap="1" wp14:anchorId="515D6B1D" wp14:editId="66A00931">
          <wp:simplePos x="0" y="0"/>
          <wp:positionH relativeFrom="column">
            <wp:posOffset>-914400</wp:posOffset>
          </wp:positionH>
          <wp:positionV relativeFrom="paragraph">
            <wp:posOffset>-303530</wp:posOffset>
          </wp:positionV>
          <wp:extent cx="7632000" cy="932457"/>
          <wp:effectExtent l="0" t="0" r="762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2000" cy="9324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44344" w14:textId="77777777" w:rsidR="000C09A5" w:rsidRDefault="000C09A5" w:rsidP="0089702C">
      <w:pPr>
        <w:spacing w:after="0" w:line="240" w:lineRule="auto"/>
      </w:pPr>
      <w:r>
        <w:separator/>
      </w:r>
    </w:p>
  </w:footnote>
  <w:footnote w:type="continuationSeparator" w:id="0">
    <w:p w14:paraId="76CEAE3B" w14:textId="77777777" w:rsidR="000C09A5" w:rsidRDefault="000C09A5" w:rsidP="00897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1A61" w14:textId="3B4E5E1B" w:rsidR="004B6E00" w:rsidRDefault="004B6E00">
    <w:pPr>
      <w:pStyle w:val="Header"/>
    </w:pPr>
    <w:r>
      <w:rPr>
        <w:noProof/>
        <w:lang w:eastAsia="en-GB"/>
      </w:rPr>
      <w:drawing>
        <wp:anchor distT="0" distB="0" distL="114300" distR="114300" simplePos="0" relativeHeight="251659776" behindDoc="1" locked="0" layoutInCell="1" allowOverlap="1" wp14:anchorId="345B4E90" wp14:editId="270C9034">
          <wp:simplePos x="0" y="0"/>
          <wp:positionH relativeFrom="column">
            <wp:posOffset>-1181100</wp:posOffset>
          </wp:positionH>
          <wp:positionV relativeFrom="paragraph">
            <wp:posOffset>-20566380</wp:posOffset>
          </wp:positionV>
          <wp:extent cx="7820025" cy="11061065"/>
          <wp:effectExtent l="0" t="0" r="9525" b="6985"/>
          <wp:wrapNone/>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025" cy="110610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E146" w14:textId="7E8A29FA" w:rsidR="004B6E00" w:rsidRDefault="004B6E00">
    <w:pPr>
      <w:pStyle w:val="Header"/>
    </w:pPr>
    <w:r>
      <w:rPr>
        <w:noProof/>
        <w:lang w:eastAsia="en-GB"/>
      </w:rPr>
      <w:drawing>
        <wp:anchor distT="0" distB="0" distL="114300" distR="114300" simplePos="0" relativeHeight="251658240" behindDoc="1" locked="0" layoutInCell="1" allowOverlap="1" wp14:anchorId="15795BF3" wp14:editId="5090A79C">
          <wp:simplePos x="0" y="0"/>
          <wp:positionH relativeFrom="column">
            <wp:posOffset>2714625</wp:posOffset>
          </wp:positionH>
          <wp:positionV relativeFrom="paragraph">
            <wp:posOffset>-325755</wp:posOffset>
          </wp:positionV>
          <wp:extent cx="3712210" cy="647765"/>
          <wp:effectExtent l="0" t="0" r="0" b="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7663"/>
                  <a:stretch/>
                </pic:blipFill>
                <pic:spPr bwMode="auto">
                  <a:xfrm>
                    <a:off x="0" y="0"/>
                    <a:ext cx="3712210" cy="647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8CB"/>
    <w:multiLevelType w:val="hybridMultilevel"/>
    <w:tmpl w:val="A556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D51F7"/>
    <w:multiLevelType w:val="hybridMultilevel"/>
    <w:tmpl w:val="D7EE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E518D"/>
    <w:multiLevelType w:val="hybridMultilevel"/>
    <w:tmpl w:val="1082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D377E"/>
    <w:multiLevelType w:val="hybridMultilevel"/>
    <w:tmpl w:val="C3262B1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nsid w:val="31E84E2C"/>
    <w:multiLevelType w:val="hybridMultilevel"/>
    <w:tmpl w:val="D3C2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37114A"/>
    <w:multiLevelType w:val="hybridMultilevel"/>
    <w:tmpl w:val="5980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8D0ABA"/>
    <w:multiLevelType w:val="hybridMultilevel"/>
    <w:tmpl w:val="440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A299C"/>
    <w:multiLevelType w:val="hybridMultilevel"/>
    <w:tmpl w:val="5D4A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1336F4"/>
    <w:multiLevelType w:val="hybridMultilevel"/>
    <w:tmpl w:val="A046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2C"/>
    <w:rsid w:val="00014F82"/>
    <w:rsid w:val="000926AD"/>
    <w:rsid w:val="000C09A5"/>
    <w:rsid w:val="00116167"/>
    <w:rsid w:val="00193C88"/>
    <w:rsid w:val="001B37EE"/>
    <w:rsid w:val="002755EB"/>
    <w:rsid w:val="00280963"/>
    <w:rsid w:val="0038661C"/>
    <w:rsid w:val="00402F6A"/>
    <w:rsid w:val="00404B7C"/>
    <w:rsid w:val="004462F5"/>
    <w:rsid w:val="004B25C2"/>
    <w:rsid w:val="004B6E00"/>
    <w:rsid w:val="004C5671"/>
    <w:rsid w:val="005928EB"/>
    <w:rsid w:val="006431CD"/>
    <w:rsid w:val="00655028"/>
    <w:rsid w:val="006B179F"/>
    <w:rsid w:val="0078188D"/>
    <w:rsid w:val="007C279C"/>
    <w:rsid w:val="007D1773"/>
    <w:rsid w:val="00875754"/>
    <w:rsid w:val="008757A8"/>
    <w:rsid w:val="0089702C"/>
    <w:rsid w:val="00954F71"/>
    <w:rsid w:val="009A5729"/>
    <w:rsid w:val="009B092E"/>
    <w:rsid w:val="009C2639"/>
    <w:rsid w:val="00A2495A"/>
    <w:rsid w:val="00AB1839"/>
    <w:rsid w:val="00B22DE3"/>
    <w:rsid w:val="00C25A94"/>
    <w:rsid w:val="00C45DDC"/>
    <w:rsid w:val="00CD28D1"/>
    <w:rsid w:val="00CF694F"/>
    <w:rsid w:val="00D96675"/>
    <w:rsid w:val="00E174C6"/>
    <w:rsid w:val="00EA6762"/>
    <w:rsid w:val="00EE1DCF"/>
    <w:rsid w:val="00F2037E"/>
    <w:rsid w:val="00F7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3AB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02C"/>
  </w:style>
  <w:style w:type="paragraph" w:styleId="Footer">
    <w:name w:val="footer"/>
    <w:basedOn w:val="Normal"/>
    <w:link w:val="FooterChar"/>
    <w:uiPriority w:val="99"/>
    <w:unhideWhenUsed/>
    <w:rsid w:val="00897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02C"/>
  </w:style>
  <w:style w:type="paragraph" w:styleId="BalloonText">
    <w:name w:val="Balloon Text"/>
    <w:basedOn w:val="Normal"/>
    <w:link w:val="BalloonTextChar"/>
    <w:uiPriority w:val="99"/>
    <w:semiHidden/>
    <w:unhideWhenUsed/>
    <w:rsid w:val="0040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7C"/>
    <w:rPr>
      <w:rFonts w:ascii="Tahoma" w:hAnsi="Tahoma" w:cs="Tahoma"/>
      <w:sz w:val="16"/>
      <w:szCs w:val="16"/>
    </w:rPr>
  </w:style>
  <w:style w:type="paragraph" w:customStyle="1" w:styleId="Default">
    <w:name w:val="Default"/>
    <w:rsid w:val="00193C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45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02C"/>
  </w:style>
  <w:style w:type="paragraph" w:styleId="Footer">
    <w:name w:val="footer"/>
    <w:basedOn w:val="Normal"/>
    <w:link w:val="FooterChar"/>
    <w:uiPriority w:val="99"/>
    <w:unhideWhenUsed/>
    <w:rsid w:val="00897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02C"/>
  </w:style>
  <w:style w:type="paragraph" w:styleId="BalloonText">
    <w:name w:val="Balloon Text"/>
    <w:basedOn w:val="Normal"/>
    <w:link w:val="BalloonTextChar"/>
    <w:uiPriority w:val="99"/>
    <w:semiHidden/>
    <w:unhideWhenUsed/>
    <w:rsid w:val="0040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7C"/>
    <w:rPr>
      <w:rFonts w:ascii="Tahoma" w:hAnsi="Tahoma" w:cs="Tahoma"/>
      <w:sz w:val="16"/>
      <w:szCs w:val="16"/>
    </w:rPr>
  </w:style>
  <w:style w:type="paragraph" w:customStyle="1" w:styleId="Default">
    <w:name w:val="Default"/>
    <w:rsid w:val="00193C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45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96E508-79A2-412E-8D43-2CF4883EE8C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7F3BBAB-AC62-47B9-9471-FCAF558D1059}">
      <dgm:prSet phldrT="[Text]" custT="1"/>
      <dgm:spPr>
        <a:xfrm>
          <a:off x="2132993" y="617867"/>
          <a:ext cx="867987" cy="4339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rgbClr val="FF0000"/>
              </a:solidFill>
              <a:latin typeface="Calibri"/>
              <a:ea typeface="+mn-ea"/>
              <a:cs typeface="+mn-cs"/>
            </a:rPr>
            <a:t>General Manager</a:t>
          </a:r>
        </a:p>
      </dgm:t>
    </dgm:pt>
    <dgm:pt modelId="{29F1B4DB-EE7B-4191-AC70-2BC936203B04}" type="parTrans" cxnId="{40C862C9-DC51-472F-8AFB-559CA69D9AD5}">
      <dgm:prSet/>
      <dgm:spPr>
        <a:xfrm>
          <a:off x="2521267" y="435590"/>
          <a:ext cx="91440" cy="182277"/>
        </a:xfrm>
        <a:custGeom>
          <a:avLst/>
          <a:gdLst/>
          <a:ahLst/>
          <a:cxnLst/>
          <a:rect l="0" t="0" r="0" b="0"/>
          <a:pathLst>
            <a:path>
              <a:moveTo>
                <a:pt x="45720" y="0"/>
              </a:moveTo>
              <a:lnTo>
                <a:pt x="45720" y="18247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89EA5B1-81F4-4259-81CE-B2F0C7B8248E}" type="sibTrans" cxnId="{40C862C9-DC51-472F-8AFB-559CA69D9AD5}">
      <dgm:prSet/>
      <dgm:spPr/>
      <dgm:t>
        <a:bodyPr/>
        <a:lstStyle/>
        <a:p>
          <a:endParaRPr lang="en-GB"/>
        </a:p>
      </dgm:t>
    </dgm:pt>
    <dgm:pt modelId="{892AB841-BBA7-4408-AF96-C4DA0BFF7E1A}">
      <dgm:prSet custT="1"/>
      <dgm:spPr>
        <a:xfrm>
          <a:off x="1082728" y="1234138"/>
          <a:ext cx="867987" cy="4339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800">
              <a:solidFill>
                <a:sysClr val="window" lastClr="FFFFFF"/>
              </a:solidFill>
              <a:latin typeface="Calibri"/>
              <a:ea typeface="+mn-ea"/>
              <a:cs typeface="+mn-cs"/>
            </a:rPr>
            <a:t>Operations </a:t>
          </a:r>
        </a:p>
        <a:p>
          <a:r>
            <a:rPr lang="en-GB" sz="800">
              <a:solidFill>
                <a:sysClr val="window" lastClr="FFFFFF"/>
              </a:solidFill>
              <a:latin typeface="Calibri"/>
              <a:ea typeface="+mn-ea"/>
              <a:cs typeface="+mn-cs"/>
            </a:rPr>
            <a:t>Manager</a:t>
          </a:r>
        </a:p>
      </dgm:t>
    </dgm:pt>
    <dgm:pt modelId="{B5E37F28-4443-4086-9881-1B0FE013C09B}" type="parTrans" cxnId="{15B34DF7-C63E-491B-A6DC-80E37DD6A73F}">
      <dgm:prSet/>
      <dgm:spPr>
        <a:xfrm>
          <a:off x="1516722" y="1051861"/>
          <a:ext cx="1050265" cy="182277"/>
        </a:xfrm>
        <a:custGeom>
          <a:avLst/>
          <a:gdLst/>
          <a:ahLst/>
          <a:cxnLst/>
          <a:rect l="0" t="0" r="0" b="0"/>
          <a:pathLst>
            <a:path>
              <a:moveTo>
                <a:pt x="1051427" y="0"/>
              </a:moveTo>
              <a:lnTo>
                <a:pt x="1051427" y="91239"/>
              </a:lnTo>
              <a:lnTo>
                <a:pt x="0" y="91239"/>
              </a:lnTo>
              <a:lnTo>
                <a:pt x="0" y="18247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08CB9B5-AE60-43C0-8D59-9506A78E76DB}" type="sibTrans" cxnId="{15B34DF7-C63E-491B-A6DC-80E37DD6A73F}">
      <dgm:prSet/>
      <dgm:spPr/>
      <dgm:t>
        <a:bodyPr/>
        <a:lstStyle/>
        <a:p>
          <a:endParaRPr lang="en-GB"/>
        </a:p>
      </dgm:t>
    </dgm:pt>
    <dgm:pt modelId="{12210849-55D7-4969-91EC-5675B49264ED}">
      <dgm:prSet custT="1"/>
      <dgm:spPr>
        <a:xfrm>
          <a:off x="2132993" y="1596"/>
          <a:ext cx="867987" cy="4339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Eve Timms</a:t>
          </a:r>
        </a:p>
        <a:p>
          <a:r>
            <a:rPr lang="en-GB" sz="900" b="1">
              <a:solidFill>
                <a:sysClr val="window" lastClr="FFFFFF"/>
              </a:solidFill>
              <a:latin typeface="Calibri"/>
              <a:ea typeface="+mn-ea"/>
              <a:cs typeface="+mn-cs"/>
            </a:rPr>
            <a:t>Director of Operations</a:t>
          </a:r>
        </a:p>
      </dgm:t>
    </dgm:pt>
    <dgm:pt modelId="{890CA3D3-4D96-405A-9D14-FC5ACA60B149}" type="parTrans" cxnId="{A3188B5A-3D88-4C2F-8978-0AAEDCF9319A}">
      <dgm:prSet/>
      <dgm:spPr/>
      <dgm:t>
        <a:bodyPr/>
        <a:lstStyle/>
        <a:p>
          <a:endParaRPr lang="en-GB"/>
        </a:p>
      </dgm:t>
    </dgm:pt>
    <dgm:pt modelId="{3976032C-23A3-4D2C-9729-2F3B586A0CF6}" type="sibTrans" cxnId="{A3188B5A-3D88-4C2F-8978-0AAEDCF9319A}">
      <dgm:prSet/>
      <dgm:spPr/>
      <dgm:t>
        <a:bodyPr/>
        <a:lstStyle/>
        <a:p>
          <a:endParaRPr lang="en-GB"/>
        </a:p>
      </dgm:t>
    </dgm:pt>
    <dgm:pt modelId="{CC13A481-FE2B-4F3A-B3BF-9075864E3451}">
      <dgm:prSet custT="1"/>
      <dgm:spPr>
        <a:xfrm>
          <a:off x="2132993" y="1234138"/>
          <a:ext cx="867987" cy="4339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sz="500">
            <a:solidFill>
              <a:sysClr val="window" lastClr="FFFFFF"/>
            </a:solidFill>
            <a:latin typeface="Calibri"/>
            <a:ea typeface="+mn-ea"/>
            <a:cs typeface="+mn-cs"/>
          </a:endParaRPr>
        </a:p>
        <a:p>
          <a:r>
            <a:rPr lang="en-GB" sz="800">
              <a:solidFill>
                <a:sysClr val="window" lastClr="FFFFFF"/>
              </a:solidFill>
              <a:latin typeface="Calibri"/>
              <a:ea typeface="+mn-ea"/>
              <a:cs typeface="+mn-cs"/>
            </a:rPr>
            <a:t>Operations </a:t>
          </a:r>
        </a:p>
        <a:p>
          <a:r>
            <a:rPr lang="en-GB" sz="800">
              <a:solidFill>
                <a:sysClr val="window" lastClr="FFFFFF"/>
              </a:solidFill>
              <a:latin typeface="Calibri"/>
              <a:ea typeface="+mn-ea"/>
              <a:cs typeface="+mn-cs"/>
            </a:rPr>
            <a:t>Manager</a:t>
          </a:r>
        </a:p>
        <a:p>
          <a:endParaRPr lang="en-GB" sz="800">
            <a:solidFill>
              <a:sysClr val="window" lastClr="FFFFFF"/>
            </a:solidFill>
            <a:latin typeface="Calibri"/>
            <a:ea typeface="+mn-ea"/>
            <a:cs typeface="+mn-cs"/>
          </a:endParaRPr>
        </a:p>
      </dgm:t>
    </dgm:pt>
    <dgm:pt modelId="{B8B55074-A5EF-4C6F-A935-6634A799AF1D}" type="parTrans" cxnId="{FFA40644-4DE3-4106-9BAB-6DC71BF716A5}">
      <dgm:prSet/>
      <dgm:spPr>
        <a:xfrm>
          <a:off x="2521267" y="1051861"/>
          <a:ext cx="91440" cy="182277"/>
        </a:xfrm>
        <a:custGeom>
          <a:avLst/>
          <a:gdLst/>
          <a:ahLst/>
          <a:cxnLst/>
          <a:rect l="0" t="0" r="0" b="0"/>
          <a:pathLst>
            <a:path>
              <a:moveTo>
                <a:pt x="45720" y="0"/>
              </a:moveTo>
              <a:lnTo>
                <a:pt x="45720" y="18247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AEEFBE2-E084-4DB3-9D92-EA422FAA8024}" type="sibTrans" cxnId="{FFA40644-4DE3-4106-9BAB-6DC71BF716A5}">
      <dgm:prSet/>
      <dgm:spPr/>
      <dgm:t>
        <a:bodyPr/>
        <a:lstStyle/>
        <a:p>
          <a:endParaRPr lang="en-GB"/>
        </a:p>
      </dgm:t>
    </dgm:pt>
    <dgm:pt modelId="{48A46858-5518-44E8-AF78-C0D6F0E1B45A}" type="pres">
      <dgm:prSet presAssocID="{5496E508-79A2-412E-8D43-2CF4883EE8C3}" presName="hierChild1" presStyleCnt="0">
        <dgm:presLayoutVars>
          <dgm:orgChart val="1"/>
          <dgm:chPref val="1"/>
          <dgm:dir/>
          <dgm:animOne val="branch"/>
          <dgm:animLvl val="lvl"/>
          <dgm:resizeHandles/>
        </dgm:presLayoutVars>
      </dgm:prSet>
      <dgm:spPr/>
      <dgm:t>
        <a:bodyPr/>
        <a:lstStyle/>
        <a:p>
          <a:endParaRPr lang="en-GB"/>
        </a:p>
      </dgm:t>
    </dgm:pt>
    <dgm:pt modelId="{20613957-2CBD-40F3-B471-604A1AA90157}" type="pres">
      <dgm:prSet presAssocID="{12210849-55D7-4969-91EC-5675B49264ED}" presName="hierRoot1" presStyleCnt="0">
        <dgm:presLayoutVars>
          <dgm:hierBranch val="init"/>
        </dgm:presLayoutVars>
      </dgm:prSet>
      <dgm:spPr/>
    </dgm:pt>
    <dgm:pt modelId="{CB62F99F-EC8E-4E65-9DB9-B7E5B4E4F697}" type="pres">
      <dgm:prSet presAssocID="{12210849-55D7-4969-91EC-5675B49264ED}" presName="rootComposite1" presStyleCnt="0"/>
      <dgm:spPr/>
    </dgm:pt>
    <dgm:pt modelId="{CF996F04-FF09-408E-9F36-FAAB29D98450}" type="pres">
      <dgm:prSet presAssocID="{12210849-55D7-4969-91EC-5675B49264ED}" presName="rootText1" presStyleLbl="node0" presStyleIdx="0" presStyleCnt="1" custScaleX="301396">
        <dgm:presLayoutVars>
          <dgm:chPref val="3"/>
        </dgm:presLayoutVars>
      </dgm:prSet>
      <dgm:spPr>
        <a:prstGeom prst="rect">
          <a:avLst/>
        </a:prstGeom>
      </dgm:spPr>
      <dgm:t>
        <a:bodyPr/>
        <a:lstStyle/>
        <a:p>
          <a:endParaRPr lang="en-GB"/>
        </a:p>
      </dgm:t>
    </dgm:pt>
    <dgm:pt modelId="{0D474947-6298-4467-B76A-1232214964E3}" type="pres">
      <dgm:prSet presAssocID="{12210849-55D7-4969-91EC-5675B49264ED}" presName="rootConnector1" presStyleLbl="node1" presStyleIdx="0" presStyleCnt="0"/>
      <dgm:spPr/>
      <dgm:t>
        <a:bodyPr/>
        <a:lstStyle/>
        <a:p>
          <a:endParaRPr lang="en-GB"/>
        </a:p>
      </dgm:t>
    </dgm:pt>
    <dgm:pt modelId="{89A2D356-CC0F-462C-BE66-69BDBF369133}" type="pres">
      <dgm:prSet presAssocID="{12210849-55D7-4969-91EC-5675B49264ED}" presName="hierChild2" presStyleCnt="0"/>
      <dgm:spPr/>
    </dgm:pt>
    <dgm:pt modelId="{F22DB03A-55F6-4798-AF83-8E8764592462}" type="pres">
      <dgm:prSet presAssocID="{29F1B4DB-EE7B-4191-AC70-2BC936203B04}" presName="Name37" presStyleLbl="parChTrans1D2" presStyleIdx="0" presStyleCnt="1"/>
      <dgm:spPr>
        <a:custGeom>
          <a:avLst/>
          <a:gdLst/>
          <a:ahLst/>
          <a:cxnLst/>
          <a:rect l="0" t="0" r="0" b="0"/>
          <a:pathLst>
            <a:path>
              <a:moveTo>
                <a:pt x="45720" y="0"/>
              </a:moveTo>
              <a:lnTo>
                <a:pt x="45720" y="182479"/>
              </a:lnTo>
            </a:path>
          </a:pathLst>
        </a:custGeom>
      </dgm:spPr>
      <dgm:t>
        <a:bodyPr/>
        <a:lstStyle/>
        <a:p>
          <a:endParaRPr lang="en-GB"/>
        </a:p>
      </dgm:t>
    </dgm:pt>
    <dgm:pt modelId="{DFAB09DE-BF0B-4E25-A8D6-33B45BC8F1D7}" type="pres">
      <dgm:prSet presAssocID="{C7F3BBAB-AC62-47B9-9471-FCAF558D1059}" presName="hierRoot2" presStyleCnt="0">
        <dgm:presLayoutVars>
          <dgm:hierBranch val="init"/>
        </dgm:presLayoutVars>
      </dgm:prSet>
      <dgm:spPr/>
    </dgm:pt>
    <dgm:pt modelId="{A3D74207-DDD0-4D20-95B2-437AA6668C5F}" type="pres">
      <dgm:prSet presAssocID="{C7F3BBAB-AC62-47B9-9471-FCAF558D1059}" presName="rootComposite" presStyleCnt="0"/>
      <dgm:spPr/>
    </dgm:pt>
    <dgm:pt modelId="{2B2B4A55-8CA2-4047-B04B-0783FEA00EC4}" type="pres">
      <dgm:prSet presAssocID="{C7F3BBAB-AC62-47B9-9471-FCAF558D1059}" presName="rootText" presStyleLbl="node2" presStyleIdx="0" presStyleCnt="1" custScaleX="179459" custLinFactNeighborY="2114">
        <dgm:presLayoutVars>
          <dgm:chPref val="3"/>
        </dgm:presLayoutVars>
      </dgm:prSet>
      <dgm:spPr>
        <a:prstGeom prst="rect">
          <a:avLst/>
        </a:prstGeom>
      </dgm:spPr>
      <dgm:t>
        <a:bodyPr/>
        <a:lstStyle/>
        <a:p>
          <a:endParaRPr lang="en-GB"/>
        </a:p>
      </dgm:t>
    </dgm:pt>
    <dgm:pt modelId="{4EE2AA8C-A8C7-455B-B8A3-2C978B0A7298}" type="pres">
      <dgm:prSet presAssocID="{C7F3BBAB-AC62-47B9-9471-FCAF558D1059}" presName="rootConnector" presStyleLbl="node2" presStyleIdx="0" presStyleCnt="1"/>
      <dgm:spPr/>
      <dgm:t>
        <a:bodyPr/>
        <a:lstStyle/>
        <a:p>
          <a:endParaRPr lang="en-GB"/>
        </a:p>
      </dgm:t>
    </dgm:pt>
    <dgm:pt modelId="{710DFDBF-3B6C-47E8-9A89-D5E63A8D7472}" type="pres">
      <dgm:prSet presAssocID="{C7F3BBAB-AC62-47B9-9471-FCAF558D1059}" presName="hierChild4" presStyleCnt="0"/>
      <dgm:spPr/>
    </dgm:pt>
    <dgm:pt modelId="{14E34D31-F593-42F5-8B71-BAD28242F22B}" type="pres">
      <dgm:prSet presAssocID="{B5E37F28-4443-4086-9881-1B0FE013C09B}" presName="Name37" presStyleLbl="parChTrans1D3" presStyleIdx="0" presStyleCnt="2"/>
      <dgm:spPr>
        <a:custGeom>
          <a:avLst/>
          <a:gdLst/>
          <a:ahLst/>
          <a:cxnLst/>
          <a:rect l="0" t="0" r="0" b="0"/>
          <a:pathLst>
            <a:path>
              <a:moveTo>
                <a:pt x="1051427" y="0"/>
              </a:moveTo>
              <a:lnTo>
                <a:pt x="1051427" y="91239"/>
              </a:lnTo>
              <a:lnTo>
                <a:pt x="0" y="91239"/>
              </a:lnTo>
              <a:lnTo>
                <a:pt x="0" y="182479"/>
              </a:lnTo>
            </a:path>
          </a:pathLst>
        </a:custGeom>
      </dgm:spPr>
      <dgm:t>
        <a:bodyPr/>
        <a:lstStyle/>
        <a:p>
          <a:endParaRPr lang="en-GB"/>
        </a:p>
      </dgm:t>
    </dgm:pt>
    <dgm:pt modelId="{C3437941-B5E8-49F3-8CD8-55777C32DD6C}" type="pres">
      <dgm:prSet presAssocID="{892AB841-BBA7-4408-AF96-C4DA0BFF7E1A}" presName="hierRoot2" presStyleCnt="0">
        <dgm:presLayoutVars>
          <dgm:hierBranch val="init"/>
        </dgm:presLayoutVars>
      </dgm:prSet>
      <dgm:spPr/>
    </dgm:pt>
    <dgm:pt modelId="{8FF0B003-815E-480B-BD8A-9B65CFA3EC20}" type="pres">
      <dgm:prSet presAssocID="{892AB841-BBA7-4408-AF96-C4DA0BFF7E1A}" presName="rootComposite" presStyleCnt="0"/>
      <dgm:spPr/>
    </dgm:pt>
    <dgm:pt modelId="{5F399634-D650-4422-B179-36E891768384}" type="pres">
      <dgm:prSet presAssocID="{892AB841-BBA7-4408-AF96-C4DA0BFF7E1A}" presName="rootText" presStyleLbl="node3" presStyleIdx="0" presStyleCnt="2" custLinFactNeighborX="-76949" custLinFactNeighborY="5496">
        <dgm:presLayoutVars>
          <dgm:chPref val="3"/>
        </dgm:presLayoutVars>
      </dgm:prSet>
      <dgm:spPr>
        <a:prstGeom prst="rect">
          <a:avLst/>
        </a:prstGeom>
      </dgm:spPr>
      <dgm:t>
        <a:bodyPr/>
        <a:lstStyle/>
        <a:p>
          <a:endParaRPr lang="en-GB"/>
        </a:p>
      </dgm:t>
    </dgm:pt>
    <dgm:pt modelId="{B2227B74-1975-4B26-9502-117915F1D3DC}" type="pres">
      <dgm:prSet presAssocID="{892AB841-BBA7-4408-AF96-C4DA0BFF7E1A}" presName="rootConnector" presStyleLbl="node3" presStyleIdx="0" presStyleCnt="2"/>
      <dgm:spPr/>
      <dgm:t>
        <a:bodyPr/>
        <a:lstStyle/>
        <a:p>
          <a:endParaRPr lang="en-GB"/>
        </a:p>
      </dgm:t>
    </dgm:pt>
    <dgm:pt modelId="{AB9B8089-9A60-44F1-9CB5-91E4725F194C}" type="pres">
      <dgm:prSet presAssocID="{892AB841-BBA7-4408-AF96-C4DA0BFF7E1A}" presName="hierChild4" presStyleCnt="0"/>
      <dgm:spPr/>
    </dgm:pt>
    <dgm:pt modelId="{2058AE29-FDC7-427D-A49A-936CD6FD064D}" type="pres">
      <dgm:prSet presAssocID="{892AB841-BBA7-4408-AF96-C4DA0BFF7E1A}" presName="hierChild5" presStyleCnt="0"/>
      <dgm:spPr/>
    </dgm:pt>
    <dgm:pt modelId="{54945B43-E4F6-4BB6-8A2D-1D55F142EF5D}" type="pres">
      <dgm:prSet presAssocID="{B8B55074-A5EF-4C6F-A935-6634A799AF1D}" presName="Name37" presStyleLbl="parChTrans1D3" presStyleIdx="1" presStyleCnt="2"/>
      <dgm:spPr>
        <a:custGeom>
          <a:avLst/>
          <a:gdLst/>
          <a:ahLst/>
          <a:cxnLst/>
          <a:rect l="0" t="0" r="0" b="0"/>
          <a:pathLst>
            <a:path>
              <a:moveTo>
                <a:pt x="45720" y="0"/>
              </a:moveTo>
              <a:lnTo>
                <a:pt x="45720" y="182479"/>
              </a:lnTo>
            </a:path>
          </a:pathLst>
        </a:custGeom>
      </dgm:spPr>
      <dgm:t>
        <a:bodyPr/>
        <a:lstStyle/>
        <a:p>
          <a:endParaRPr lang="en-GB"/>
        </a:p>
      </dgm:t>
    </dgm:pt>
    <dgm:pt modelId="{DB4D24FF-B225-4C14-8DFD-48C337AE4C78}" type="pres">
      <dgm:prSet presAssocID="{CC13A481-FE2B-4F3A-B3BF-9075864E3451}" presName="hierRoot2" presStyleCnt="0">
        <dgm:presLayoutVars>
          <dgm:hierBranch val="init"/>
        </dgm:presLayoutVars>
      </dgm:prSet>
      <dgm:spPr/>
    </dgm:pt>
    <dgm:pt modelId="{F5BD88E9-E3E4-4C63-A404-969A9A431206}" type="pres">
      <dgm:prSet presAssocID="{CC13A481-FE2B-4F3A-B3BF-9075864E3451}" presName="rootComposite" presStyleCnt="0"/>
      <dgm:spPr/>
    </dgm:pt>
    <dgm:pt modelId="{327C1551-6227-4F7F-A538-A1170B858AFA}" type="pres">
      <dgm:prSet presAssocID="{CC13A481-FE2B-4F3A-B3BF-9075864E3451}" presName="rootText" presStyleLbl="node3" presStyleIdx="1" presStyleCnt="2" custScaleX="121624" custLinFactY="-39242" custLinFactNeighborX="61322" custLinFactNeighborY="-100000">
        <dgm:presLayoutVars>
          <dgm:chPref val="3"/>
        </dgm:presLayoutVars>
      </dgm:prSet>
      <dgm:spPr>
        <a:prstGeom prst="rect">
          <a:avLst/>
        </a:prstGeom>
      </dgm:spPr>
      <dgm:t>
        <a:bodyPr/>
        <a:lstStyle/>
        <a:p>
          <a:endParaRPr lang="en-GB"/>
        </a:p>
      </dgm:t>
    </dgm:pt>
    <dgm:pt modelId="{0101FD4A-75F1-487B-B707-1AA2FBD16D6B}" type="pres">
      <dgm:prSet presAssocID="{CC13A481-FE2B-4F3A-B3BF-9075864E3451}" presName="rootConnector" presStyleLbl="node3" presStyleIdx="1" presStyleCnt="2"/>
      <dgm:spPr/>
      <dgm:t>
        <a:bodyPr/>
        <a:lstStyle/>
        <a:p>
          <a:endParaRPr lang="en-GB"/>
        </a:p>
      </dgm:t>
    </dgm:pt>
    <dgm:pt modelId="{84F73F4B-473D-4370-B453-D156156637B3}" type="pres">
      <dgm:prSet presAssocID="{CC13A481-FE2B-4F3A-B3BF-9075864E3451}" presName="hierChild4" presStyleCnt="0"/>
      <dgm:spPr/>
    </dgm:pt>
    <dgm:pt modelId="{52F34934-B345-4456-B6D3-575B78F90CC4}" type="pres">
      <dgm:prSet presAssocID="{CC13A481-FE2B-4F3A-B3BF-9075864E3451}" presName="hierChild5" presStyleCnt="0"/>
      <dgm:spPr/>
    </dgm:pt>
    <dgm:pt modelId="{8C167B4D-CE1E-461F-971C-128C33A8F547}" type="pres">
      <dgm:prSet presAssocID="{C7F3BBAB-AC62-47B9-9471-FCAF558D1059}" presName="hierChild5" presStyleCnt="0"/>
      <dgm:spPr/>
    </dgm:pt>
    <dgm:pt modelId="{F15FAE82-480E-47E6-B756-8EABE67FE767}" type="pres">
      <dgm:prSet presAssocID="{12210849-55D7-4969-91EC-5675B49264ED}" presName="hierChild3" presStyleCnt="0"/>
      <dgm:spPr/>
    </dgm:pt>
  </dgm:ptLst>
  <dgm:cxnLst>
    <dgm:cxn modelId="{C702EB6C-03A8-4B27-9888-735EC8E5D96D}" type="presOf" srcId="{B5E37F28-4443-4086-9881-1B0FE013C09B}" destId="{14E34D31-F593-42F5-8B71-BAD28242F22B}" srcOrd="0" destOrd="0" presId="urn:microsoft.com/office/officeart/2005/8/layout/orgChart1"/>
    <dgm:cxn modelId="{882EA3D6-7CC2-47CC-B091-612B8265F1EC}" type="presOf" srcId="{C7F3BBAB-AC62-47B9-9471-FCAF558D1059}" destId="{4EE2AA8C-A8C7-455B-B8A3-2C978B0A7298}" srcOrd="1" destOrd="0" presId="urn:microsoft.com/office/officeart/2005/8/layout/orgChart1"/>
    <dgm:cxn modelId="{FC4D5E56-1CC8-4A5C-92E7-6B02CBC7C51A}" type="presOf" srcId="{29F1B4DB-EE7B-4191-AC70-2BC936203B04}" destId="{F22DB03A-55F6-4798-AF83-8E8764592462}" srcOrd="0" destOrd="0" presId="urn:microsoft.com/office/officeart/2005/8/layout/orgChart1"/>
    <dgm:cxn modelId="{F3CA14AB-210E-451F-918A-B4721FF8499E}" type="presOf" srcId="{C7F3BBAB-AC62-47B9-9471-FCAF558D1059}" destId="{2B2B4A55-8CA2-4047-B04B-0783FEA00EC4}" srcOrd="0" destOrd="0" presId="urn:microsoft.com/office/officeart/2005/8/layout/orgChart1"/>
    <dgm:cxn modelId="{CDFBD1CE-AE1A-4A68-BE0C-4D214107771E}" type="presOf" srcId="{892AB841-BBA7-4408-AF96-C4DA0BFF7E1A}" destId="{B2227B74-1975-4B26-9502-117915F1D3DC}" srcOrd="1" destOrd="0" presId="urn:microsoft.com/office/officeart/2005/8/layout/orgChart1"/>
    <dgm:cxn modelId="{1CEC6B30-AF2F-4D87-8A1C-0E05C80E3E13}" type="presOf" srcId="{12210849-55D7-4969-91EC-5675B49264ED}" destId="{0D474947-6298-4467-B76A-1232214964E3}" srcOrd="1" destOrd="0" presId="urn:microsoft.com/office/officeart/2005/8/layout/orgChart1"/>
    <dgm:cxn modelId="{15B34DF7-C63E-491B-A6DC-80E37DD6A73F}" srcId="{C7F3BBAB-AC62-47B9-9471-FCAF558D1059}" destId="{892AB841-BBA7-4408-AF96-C4DA0BFF7E1A}" srcOrd="0" destOrd="0" parTransId="{B5E37F28-4443-4086-9881-1B0FE013C09B}" sibTransId="{508CB9B5-AE60-43C0-8D59-9506A78E76DB}"/>
    <dgm:cxn modelId="{AED28F39-CA15-4E3C-ACF8-54D18C153783}" type="presOf" srcId="{5496E508-79A2-412E-8D43-2CF4883EE8C3}" destId="{48A46858-5518-44E8-AF78-C0D6F0E1B45A}" srcOrd="0" destOrd="0" presId="urn:microsoft.com/office/officeart/2005/8/layout/orgChart1"/>
    <dgm:cxn modelId="{FFA40644-4DE3-4106-9BAB-6DC71BF716A5}" srcId="{C7F3BBAB-AC62-47B9-9471-FCAF558D1059}" destId="{CC13A481-FE2B-4F3A-B3BF-9075864E3451}" srcOrd="1" destOrd="0" parTransId="{B8B55074-A5EF-4C6F-A935-6634A799AF1D}" sibTransId="{FAEEFBE2-E084-4DB3-9D92-EA422FAA8024}"/>
    <dgm:cxn modelId="{40C862C9-DC51-472F-8AFB-559CA69D9AD5}" srcId="{12210849-55D7-4969-91EC-5675B49264ED}" destId="{C7F3BBAB-AC62-47B9-9471-FCAF558D1059}" srcOrd="0" destOrd="0" parTransId="{29F1B4DB-EE7B-4191-AC70-2BC936203B04}" sibTransId="{889EA5B1-81F4-4259-81CE-B2F0C7B8248E}"/>
    <dgm:cxn modelId="{A370B67C-80C2-4C29-8067-1DEBCAA498B8}" type="presOf" srcId="{CC13A481-FE2B-4F3A-B3BF-9075864E3451}" destId="{327C1551-6227-4F7F-A538-A1170B858AFA}" srcOrd="0" destOrd="0" presId="urn:microsoft.com/office/officeart/2005/8/layout/orgChart1"/>
    <dgm:cxn modelId="{5BAD2B0B-C31F-49A9-91A6-CA409DAE143C}" type="presOf" srcId="{892AB841-BBA7-4408-AF96-C4DA0BFF7E1A}" destId="{5F399634-D650-4422-B179-36E891768384}" srcOrd="0" destOrd="0" presId="urn:microsoft.com/office/officeart/2005/8/layout/orgChart1"/>
    <dgm:cxn modelId="{41BB5264-5396-42E5-AE0B-33153D8EBAC8}" type="presOf" srcId="{12210849-55D7-4969-91EC-5675B49264ED}" destId="{CF996F04-FF09-408E-9F36-FAAB29D98450}" srcOrd="0" destOrd="0" presId="urn:microsoft.com/office/officeart/2005/8/layout/orgChart1"/>
    <dgm:cxn modelId="{A3188B5A-3D88-4C2F-8978-0AAEDCF9319A}" srcId="{5496E508-79A2-412E-8D43-2CF4883EE8C3}" destId="{12210849-55D7-4969-91EC-5675B49264ED}" srcOrd="0" destOrd="0" parTransId="{890CA3D3-4D96-405A-9D14-FC5ACA60B149}" sibTransId="{3976032C-23A3-4D2C-9729-2F3B586A0CF6}"/>
    <dgm:cxn modelId="{7442025E-42C5-4EE3-B9B4-F4FDF3C98BB7}" type="presOf" srcId="{CC13A481-FE2B-4F3A-B3BF-9075864E3451}" destId="{0101FD4A-75F1-487B-B707-1AA2FBD16D6B}" srcOrd="1" destOrd="0" presId="urn:microsoft.com/office/officeart/2005/8/layout/orgChart1"/>
    <dgm:cxn modelId="{CCF8A387-0AA3-4DC0-8BFF-E795981AD754}" type="presOf" srcId="{B8B55074-A5EF-4C6F-A935-6634A799AF1D}" destId="{54945B43-E4F6-4BB6-8A2D-1D55F142EF5D}" srcOrd="0" destOrd="0" presId="urn:microsoft.com/office/officeart/2005/8/layout/orgChart1"/>
    <dgm:cxn modelId="{DD38377D-FF7C-474B-B806-BC0FBB1AAD48}" type="presParOf" srcId="{48A46858-5518-44E8-AF78-C0D6F0E1B45A}" destId="{20613957-2CBD-40F3-B471-604A1AA90157}" srcOrd="0" destOrd="0" presId="urn:microsoft.com/office/officeart/2005/8/layout/orgChart1"/>
    <dgm:cxn modelId="{7CECE8C6-9CE3-4676-9DB9-DB11D933B86B}" type="presParOf" srcId="{20613957-2CBD-40F3-B471-604A1AA90157}" destId="{CB62F99F-EC8E-4E65-9DB9-B7E5B4E4F697}" srcOrd="0" destOrd="0" presId="urn:microsoft.com/office/officeart/2005/8/layout/orgChart1"/>
    <dgm:cxn modelId="{E2A1E701-2CC3-47A5-920F-637FA7D6F724}" type="presParOf" srcId="{CB62F99F-EC8E-4E65-9DB9-B7E5B4E4F697}" destId="{CF996F04-FF09-408E-9F36-FAAB29D98450}" srcOrd="0" destOrd="0" presId="urn:microsoft.com/office/officeart/2005/8/layout/orgChart1"/>
    <dgm:cxn modelId="{C064742E-EE8A-4521-9B81-558917F866A0}" type="presParOf" srcId="{CB62F99F-EC8E-4E65-9DB9-B7E5B4E4F697}" destId="{0D474947-6298-4467-B76A-1232214964E3}" srcOrd="1" destOrd="0" presId="urn:microsoft.com/office/officeart/2005/8/layout/orgChart1"/>
    <dgm:cxn modelId="{4B4FBDE7-2660-4194-AFEB-DD546BBA7A9D}" type="presParOf" srcId="{20613957-2CBD-40F3-B471-604A1AA90157}" destId="{89A2D356-CC0F-462C-BE66-69BDBF369133}" srcOrd="1" destOrd="0" presId="urn:microsoft.com/office/officeart/2005/8/layout/orgChart1"/>
    <dgm:cxn modelId="{DBE04FE3-567B-4642-94CB-C36D377603D3}" type="presParOf" srcId="{89A2D356-CC0F-462C-BE66-69BDBF369133}" destId="{F22DB03A-55F6-4798-AF83-8E8764592462}" srcOrd="0" destOrd="0" presId="urn:microsoft.com/office/officeart/2005/8/layout/orgChart1"/>
    <dgm:cxn modelId="{D33C602B-52E5-4356-BC86-11ED2DCE8AC2}" type="presParOf" srcId="{89A2D356-CC0F-462C-BE66-69BDBF369133}" destId="{DFAB09DE-BF0B-4E25-A8D6-33B45BC8F1D7}" srcOrd="1" destOrd="0" presId="urn:microsoft.com/office/officeart/2005/8/layout/orgChart1"/>
    <dgm:cxn modelId="{53C6443F-340C-406A-A3F2-E70F0DE9F74A}" type="presParOf" srcId="{DFAB09DE-BF0B-4E25-A8D6-33B45BC8F1D7}" destId="{A3D74207-DDD0-4D20-95B2-437AA6668C5F}" srcOrd="0" destOrd="0" presId="urn:microsoft.com/office/officeart/2005/8/layout/orgChart1"/>
    <dgm:cxn modelId="{F24CC8DA-CC4D-4216-A312-41ED9BB3CFCC}" type="presParOf" srcId="{A3D74207-DDD0-4D20-95B2-437AA6668C5F}" destId="{2B2B4A55-8CA2-4047-B04B-0783FEA00EC4}" srcOrd="0" destOrd="0" presId="urn:microsoft.com/office/officeart/2005/8/layout/orgChart1"/>
    <dgm:cxn modelId="{B11187E4-6D83-44D7-BB65-0FBE715668D2}" type="presParOf" srcId="{A3D74207-DDD0-4D20-95B2-437AA6668C5F}" destId="{4EE2AA8C-A8C7-455B-B8A3-2C978B0A7298}" srcOrd="1" destOrd="0" presId="urn:microsoft.com/office/officeart/2005/8/layout/orgChart1"/>
    <dgm:cxn modelId="{F03EB0D4-D6E9-4909-B390-6946859667CD}" type="presParOf" srcId="{DFAB09DE-BF0B-4E25-A8D6-33B45BC8F1D7}" destId="{710DFDBF-3B6C-47E8-9A89-D5E63A8D7472}" srcOrd="1" destOrd="0" presId="urn:microsoft.com/office/officeart/2005/8/layout/orgChart1"/>
    <dgm:cxn modelId="{897CF7B6-1645-433B-B2EB-14271DF782A0}" type="presParOf" srcId="{710DFDBF-3B6C-47E8-9A89-D5E63A8D7472}" destId="{14E34D31-F593-42F5-8B71-BAD28242F22B}" srcOrd="0" destOrd="0" presId="urn:microsoft.com/office/officeart/2005/8/layout/orgChart1"/>
    <dgm:cxn modelId="{1A66D7C9-9E69-4EEE-B034-259388826F0B}" type="presParOf" srcId="{710DFDBF-3B6C-47E8-9A89-D5E63A8D7472}" destId="{C3437941-B5E8-49F3-8CD8-55777C32DD6C}" srcOrd="1" destOrd="0" presId="urn:microsoft.com/office/officeart/2005/8/layout/orgChart1"/>
    <dgm:cxn modelId="{83100101-B84F-490B-811C-954E52FC7D52}" type="presParOf" srcId="{C3437941-B5E8-49F3-8CD8-55777C32DD6C}" destId="{8FF0B003-815E-480B-BD8A-9B65CFA3EC20}" srcOrd="0" destOrd="0" presId="urn:microsoft.com/office/officeart/2005/8/layout/orgChart1"/>
    <dgm:cxn modelId="{472B732A-D2E0-4ACC-905A-3A3673522E17}" type="presParOf" srcId="{8FF0B003-815E-480B-BD8A-9B65CFA3EC20}" destId="{5F399634-D650-4422-B179-36E891768384}" srcOrd="0" destOrd="0" presId="urn:microsoft.com/office/officeart/2005/8/layout/orgChart1"/>
    <dgm:cxn modelId="{03D99E99-EED1-41ED-AD9F-F346D8183CBB}" type="presParOf" srcId="{8FF0B003-815E-480B-BD8A-9B65CFA3EC20}" destId="{B2227B74-1975-4B26-9502-117915F1D3DC}" srcOrd="1" destOrd="0" presId="urn:microsoft.com/office/officeart/2005/8/layout/orgChart1"/>
    <dgm:cxn modelId="{6B983B46-5E05-4DB7-B6E3-7E5A6B3D081C}" type="presParOf" srcId="{C3437941-B5E8-49F3-8CD8-55777C32DD6C}" destId="{AB9B8089-9A60-44F1-9CB5-91E4725F194C}" srcOrd="1" destOrd="0" presId="urn:microsoft.com/office/officeart/2005/8/layout/orgChart1"/>
    <dgm:cxn modelId="{18C1F4C6-15EB-462A-8D2E-1CB0521A5312}" type="presParOf" srcId="{C3437941-B5E8-49F3-8CD8-55777C32DD6C}" destId="{2058AE29-FDC7-427D-A49A-936CD6FD064D}" srcOrd="2" destOrd="0" presId="urn:microsoft.com/office/officeart/2005/8/layout/orgChart1"/>
    <dgm:cxn modelId="{3A3D9826-0E0E-4A2F-92E4-F7C07ACBCD4D}" type="presParOf" srcId="{710DFDBF-3B6C-47E8-9A89-D5E63A8D7472}" destId="{54945B43-E4F6-4BB6-8A2D-1D55F142EF5D}" srcOrd="2" destOrd="0" presId="urn:microsoft.com/office/officeart/2005/8/layout/orgChart1"/>
    <dgm:cxn modelId="{0BAE9655-A6A6-4189-BE84-6BB602107A81}" type="presParOf" srcId="{710DFDBF-3B6C-47E8-9A89-D5E63A8D7472}" destId="{DB4D24FF-B225-4C14-8DFD-48C337AE4C78}" srcOrd="3" destOrd="0" presId="urn:microsoft.com/office/officeart/2005/8/layout/orgChart1"/>
    <dgm:cxn modelId="{12354573-FE4B-417E-A953-C7B80827E230}" type="presParOf" srcId="{DB4D24FF-B225-4C14-8DFD-48C337AE4C78}" destId="{F5BD88E9-E3E4-4C63-A404-969A9A431206}" srcOrd="0" destOrd="0" presId="urn:microsoft.com/office/officeart/2005/8/layout/orgChart1"/>
    <dgm:cxn modelId="{1622B726-6D6F-4F3D-A196-29F1B351EF59}" type="presParOf" srcId="{F5BD88E9-E3E4-4C63-A404-969A9A431206}" destId="{327C1551-6227-4F7F-A538-A1170B858AFA}" srcOrd="0" destOrd="0" presId="urn:microsoft.com/office/officeart/2005/8/layout/orgChart1"/>
    <dgm:cxn modelId="{6A48E9C3-186E-457D-9564-61D57CF58B4E}" type="presParOf" srcId="{F5BD88E9-E3E4-4C63-A404-969A9A431206}" destId="{0101FD4A-75F1-487B-B707-1AA2FBD16D6B}" srcOrd="1" destOrd="0" presId="urn:microsoft.com/office/officeart/2005/8/layout/orgChart1"/>
    <dgm:cxn modelId="{A7F5D788-1270-4066-A828-F5AFC7CBA3A6}" type="presParOf" srcId="{DB4D24FF-B225-4C14-8DFD-48C337AE4C78}" destId="{84F73F4B-473D-4370-B453-D156156637B3}" srcOrd="1" destOrd="0" presId="urn:microsoft.com/office/officeart/2005/8/layout/orgChart1"/>
    <dgm:cxn modelId="{63554D96-06C3-4168-A1A0-2C571A67E73D}" type="presParOf" srcId="{DB4D24FF-B225-4C14-8DFD-48C337AE4C78}" destId="{52F34934-B345-4456-B6D3-575B78F90CC4}" srcOrd="2" destOrd="0" presId="urn:microsoft.com/office/officeart/2005/8/layout/orgChart1"/>
    <dgm:cxn modelId="{A2FF28A9-27FF-4DFC-B63B-9F92EEC52372}" type="presParOf" srcId="{DFAB09DE-BF0B-4E25-A8D6-33B45BC8F1D7}" destId="{8C167B4D-CE1E-461F-971C-128C33A8F547}" srcOrd="2" destOrd="0" presId="urn:microsoft.com/office/officeart/2005/8/layout/orgChart1"/>
    <dgm:cxn modelId="{89991643-044F-4CCB-A79E-A7219D90CBAD}" type="presParOf" srcId="{20613957-2CBD-40F3-B471-604A1AA90157}" destId="{F15FAE82-480E-47E6-B756-8EABE67FE76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45B43-E4F6-4BB6-8A2D-1D55F142EF5D}">
      <dsp:nvSpPr>
        <dsp:cNvPr id="0" name=""/>
        <dsp:cNvSpPr/>
      </dsp:nvSpPr>
      <dsp:spPr>
        <a:xfrm>
          <a:off x="2462495" y="734355"/>
          <a:ext cx="530770" cy="278627"/>
        </a:xfrm>
        <a:custGeom>
          <a:avLst/>
          <a:gdLst/>
          <a:ahLst/>
          <a:cxnLst/>
          <a:rect l="0" t="0" r="0" b="0"/>
          <a:pathLst>
            <a:path>
              <a:moveTo>
                <a:pt x="45720" y="0"/>
              </a:moveTo>
              <a:lnTo>
                <a:pt x="45720" y="1824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E34D31-F593-42F5-8B71-BAD28242F22B}">
      <dsp:nvSpPr>
        <dsp:cNvPr id="0" name=""/>
        <dsp:cNvSpPr/>
      </dsp:nvSpPr>
      <dsp:spPr>
        <a:xfrm>
          <a:off x="2462495" y="734355"/>
          <a:ext cx="300569" cy="286862"/>
        </a:xfrm>
        <a:custGeom>
          <a:avLst/>
          <a:gdLst/>
          <a:ahLst/>
          <a:cxnLst/>
          <a:rect l="0" t="0" r="0" b="0"/>
          <a:pathLst>
            <a:path>
              <a:moveTo>
                <a:pt x="1051427" y="0"/>
              </a:moveTo>
              <a:lnTo>
                <a:pt x="1051427" y="91239"/>
              </a:lnTo>
              <a:lnTo>
                <a:pt x="0" y="91239"/>
              </a:lnTo>
              <a:lnTo>
                <a:pt x="0" y="1824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2DB03A-55F6-4798-AF83-8E8764592462}">
      <dsp:nvSpPr>
        <dsp:cNvPr id="0" name=""/>
        <dsp:cNvSpPr/>
      </dsp:nvSpPr>
      <dsp:spPr>
        <a:xfrm>
          <a:off x="2848555" y="300930"/>
          <a:ext cx="91440" cy="132673"/>
        </a:xfrm>
        <a:custGeom>
          <a:avLst/>
          <a:gdLst/>
          <a:ahLst/>
          <a:cxnLst/>
          <a:rect l="0" t="0" r="0" b="0"/>
          <a:pathLst>
            <a:path>
              <a:moveTo>
                <a:pt x="45720" y="0"/>
              </a:moveTo>
              <a:lnTo>
                <a:pt x="45720" y="18247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F996F04-FF09-408E-9F36-FAAB29D98450}">
      <dsp:nvSpPr>
        <dsp:cNvPr id="0" name=""/>
        <dsp:cNvSpPr/>
      </dsp:nvSpPr>
      <dsp:spPr>
        <a:xfrm>
          <a:off x="1987823" y="180"/>
          <a:ext cx="1812902" cy="3007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Calibri"/>
              <a:ea typeface="+mn-ea"/>
              <a:cs typeface="+mn-cs"/>
            </a:rPr>
            <a:t>Eve Timms</a:t>
          </a:r>
        </a:p>
        <a:p>
          <a:pPr lvl="0" algn="ctr" defTabSz="400050">
            <a:lnSpc>
              <a:spcPct val="90000"/>
            </a:lnSpc>
            <a:spcBef>
              <a:spcPct val="0"/>
            </a:spcBef>
            <a:spcAft>
              <a:spcPct val="35000"/>
            </a:spcAft>
          </a:pPr>
          <a:r>
            <a:rPr lang="en-GB" sz="900" b="1" kern="1200">
              <a:solidFill>
                <a:sysClr val="window" lastClr="FFFFFF"/>
              </a:solidFill>
              <a:latin typeface="Calibri"/>
              <a:ea typeface="+mn-ea"/>
              <a:cs typeface="+mn-cs"/>
            </a:rPr>
            <a:t>Director of Operations</a:t>
          </a:r>
        </a:p>
      </dsp:txBody>
      <dsp:txXfrm>
        <a:off x="1987823" y="180"/>
        <a:ext cx="1812902" cy="300750"/>
      </dsp:txXfrm>
    </dsp:sp>
    <dsp:sp modelId="{2B2B4A55-8CA2-4047-B04B-0783FEA00EC4}">
      <dsp:nvSpPr>
        <dsp:cNvPr id="0" name=""/>
        <dsp:cNvSpPr/>
      </dsp:nvSpPr>
      <dsp:spPr>
        <a:xfrm>
          <a:off x="2354550" y="433604"/>
          <a:ext cx="1079449" cy="3007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rgbClr val="FF0000"/>
              </a:solidFill>
              <a:latin typeface="Calibri"/>
              <a:ea typeface="+mn-ea"/>
              <a:cs typeface="+mn-cs"/>
            </a:rPr>
            <a:t>General Manager</a:t>
          </a:r>
        </a:p>
      </dsp:txBody>
      <dsp:txXfrm>
        <a:off x="2354550" y="433604"/>
        <a:ext cx="1079449" cy="300750"/>
      </dsp:txXfrm>
    </dsp:sp>
    <dsp:sp modelId="{5F399634-D650-4422-B179-36E891768384}">
      <dsp:nvSpPr>
        <dsp:cNvPr id="0" name=""/>
        <dsp:cNvSpPr/>
      </dsp:nvSpPr>
      <dsp:spPr>
        <a:xfrm>
          <a:off x="2161563" y="870841"/>
          <a:ext cx="601501" cy="3007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Operations </a:t>
          </a:r>
        </a:p>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Manager</a:t>
          </a:r>
        </a:p>
      </dsp:txBody>
      <dsp:txXfrm>
        <a:off x="2161563" y="870841"/>
        <a:ext cx="601501" cy="300750"/>
      </dsp:txXfrm>
    </dsp:sp>
    <dsp:sp modelId="{327C1551-6227-4F7F-A538-A1170B858AFA}">
      <dsp:nvSpPr>
        <dsp:cNvPr id="0" name=""/>
        <dsp:cNvSpPr/>
      </dsp:nvSpPr>
      <dsp:spPr>
        <a:xfrm>
          <a:off x="2993265" y="862607"/>
          <a:ext cx="731570" cy="3007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a:p>
          <a:pPr lvl="0" algn="ctr" defTabSz="222250">
            <a:lnSpc>
              <a:spcPct val="90000"/>
            </a:lnSpc>
            <a:spcBef>
              <a:spcPct val="0"/>
            </a:spcBef>
            <a:spcAft>
              <a:spcPct val="35000"/>
            </a:spcAft>
          </a:pPr>
          <a:r>
            <a:rPr lang="en-GB" sz="800" kern="1200">
              <a:solidFill>
                <a:sysClr val="window" lastClr="FFFFFF"/>
              </a:solidFill>
              <a:latin typeface="Calibri"/>
              <a:ea typeface="+mn-ea"/>
              <a:cs typeface="+mn-cs"/>
            </a:rPr>
            <a:t>Operations </a:t>
          </a:r>
        </a:p>
        <a:p>
          <a:pPr lvl="0" algn="ctr" defTabSz="222250">
            <a:lnSpc>
              <a:spcPct val="90000"/>
            </a:lnSpc>
            <a:spcBef>
              <a:spcPct val="0"/>
            </a:spcBef>
            <a:spcAft>
              <a:spcPct val="35000"/>
            </a:spcAft>
          </a:pPr>
          <a:r>
            <a:rPr lang="en-GB" sz="800" kern="1200">
              <a:solidFill>
                <a:sysClr val="window" lastClr="FFFFFF"/>
              </a:solidFill>
              <a:latin typeface="Calibri"/>
              <a:ea typeface="+mn-ea"/>
              <a:cs typeface="+mn-cs"/>
            </a:rPr>
            <a:t>Manager</a:t>
          </a:r>
        </a:p>
        <a:p>
          <a:pPr lvl="0" algn="ctr" defTabSz="22225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a:off x="2993265" y="862607"/>
        <a:ext cx="731570" cy="300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Ricketts</dc:creator>
  <cp:lastModifiedBy>Katie Kelly</cp:lastModifiedBy>
  <cp:revision>4</cp:revision>
  <dcterms:created xsi:type="dcterms:W3CDTF">2023-03-16T12:53:00Z</dcterms:created>
  <dcterms:modified xsi:type="dcterms:W3CDTF">2023-03-16T13:50:00Z</dcterms:modified>
</cp:coreProperties>
</file>